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B556A" w14:textId="6C7B4D40" w:rsidR="00920A6E" w:rsidRPr="002026F3" w:rsidRDefault="009B4077" w:rsidP="006B180A">
      <w:pPr>
        <w:autoSpaceDE w:val="0"/>
        <w:autoSpaceDN w:val="0"/>
        <w:adjustRightInd w:val="0"/>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t>S</w:t>
      </w:r>
      <w:r w:rsidR="00920A6E" w:rsidRPr="002026F3">
        <w:rPr>
          <w:rFonts w:ascii="Times New Roman" w:hAnsi="Times New Roman"/>
          <w:b/>
          <w:color w:val="000000"/>
          <w:sz w:val="24"/>
          <w:szCs w:val="24"/>
          <w:u w:val="single"/>
        </w:rPr>
        <w:t xml:space="preserve">TEWARDSHIP </w:t>
      </w:r>
      <w:r w:rsidR="00691A54">
        <w:rPr>
          <w:rFonts w:ascii="Times New Roman" w:hAnsi="Times New Roman"/>
          <w:b/>
          <w:color w:val="000000"/>
          <w:sz w:val="24"/>
          <w:szCs w:val="24"/>
          <w:u w:val="single"/>
        </w:rPr>
        <w:t>PROPERTY, PLANT, AND EQUIPMENT</w:t>
      </w:r>
      <w:r w:rsidR="007D39C8">
        <w:rPr>
          <w:rFonts w:ascii="Times New Roman" w:hAnsi="Times New Roman"/>
          <w:b/>
          <w:color w:val="000000"/>
          <w:sz w:val="24"/>
          <w:szCs w:val="24"/>
          <w:u w:val="single"/>
        </w:rPr>
        <w:t xml:space="preserve"> (</w:t>
      </w:r>
      <w:r w:rsidR="007D39C8" w:rsidRPr="00FB56B8">
        <w:rPr>
          <w:rFonts w:ascii="Times New Roman" w:hAnsi="Times New Roman"/>
          <w:b/>
          <w:i/>
          <w:color w:val="000000"/>
          <w:sz w:val="24"/>
          <w:szCs w:val="24"/>
          <w:u w:val="single"/>
        </w:rPr>
        <w:t>Footnote</w:t>
      </w:r>
      <w:r w:rsidR="0053707B">
        <w:rPr>
          <w:rFonts w:ascii="Times New Roman" w:hAnsi="Times New Roman"/>
          <w:b/>
          <w:i/>
          <w:color w:val="000000"/>
          <w:sz w:val="24"/>
          <w:szCs w:val="24"/>
          <w:u w:val="single"/>
        </w:rPr>
        <w:t xml:space="preserve"> Disclosure</w:t>
      </w:r>
      <w:r w:rsidR="007D39C8">
        <w:rPr>
          <w:rFonts w:ascii="Times New Roman" w:hAnsi="Times New Roman"/>
          <w:b/>
          <w:color w:val="000000"/>
          <w:sz w:val="24"/>
          <w:szCs w:val="24"/>
          <w:u w:val="single"/>
        </w:rPr>
        <w:t>)</w:t>
      </w:r>
    </w:p>
    <w:p w14:paraId="6A48B147" w14:textId="77777777" w:rsidR="00920A6E" w:rsidRPr="002026F3" w:rsidRDefault="00920A6E" w:rsidP="006B180A">
      <w:pPr>
        <w:autoSpaceDE w:val="0"/>
        <w:autoSpaceDN w:val="0"/>
        <w:adjustRightInd w:val="0"/>
        <w:spacing w:after="0" w:line="240" w:lineRule="auto"/>
        <w:rPr>
          <w:rFonts w:ascii="Times New Roman" w:hAnsi="Times New Roman"/>
          <w:color w:val="000000"/>
          <w:sz w:val="24"/>
          <w:szCs w:val="24"/>
        </w:rPr>
      </w:pPr>
    </w:p>
    <w:p w14:paraId="01C5CE9B" w14:textId="00262747" w:rsidR="00EA63AF" w:rsidRDefault="00EA63AF" w:rsidP="00EA63AF">
      <w:pPr>
        <w:autoSpaceDE w:val="0"/>
        <w:autoSpaceDN w:val="0"/>
        <w:adjustRightInd w:val="0"/>
        <w:spacing w:after="0" w:line="240" w:lineRule="auto"/>
        <w:rPr>
          <w:rFonts w:ascii="Times New Roman" w:hAnsi="Times New Roman"/>
          <w:sz w:val="24"/>
          <w:szCs w:val="24"/>
          <w:lang w:val="en"/>
        </w:rPr>
      </w:pPr>
      <w:r w:rsidRPr="00EA63AF">
        <w:rPr>
          <w:rFonts w:ascii="Times New Roman" w:hAnsi="Times New Roman"/>
          <w:sz w:val="24"/>
          <w:szCs w:val="24"/>
          <w:lang w:val="en"/>
        </w:rPr>
        <w:t xml:space="preserve">Preservation of stewardship </w:t>
      </w:r>
      <w:r w:rsidR="00691A54">
        <w:rPr>
          <w:rFonts w:ascii="Times New Roman" w:hAnsi="Times New Roman"/>
          <w:sz w:val="24"/>
          <w:szCs w:val="24"/>
          <w:lang w:val="en"/>
        </w:rPr>
        <w:t>property, plant, and equipment (PP&amp;E)</w:t>
      </w:r>
      <w:r w:rsidRPr="00EA63AF">
        <w:rPr>
          <w:rFonts w:ascii="Times New Roman" w:hAnsi="Times New Roman"/>
          <w:sz w:val="24"/>
          <w:szCs w:val="24"/>
          <w:lang w:val="en"/>
        </w:rPr>
        <w:t xml:space="preserve"> promotes the Department’s mission of providing effective management and monitoring of</w:t>
      </w:r>
      <w:r>
        <w:rPr>
          <w:rFonts w:ascii="Times New Roman" w:hAnsi="Times New Roman"/>
          <w:sz w:val="24"/>
          <w:szCs w:val="24"/>
          <w:lang w:val="en"/>
        </w:rPr>
        <w:t xml:space="preserve"> </w:t>
      </w:r>
      <w:r w:rsidRPr="00EA63AF">
        <w:rPr>
          <w:rFonts w:ascii="Times New Roman" w:hAnsi="Times New Roman"/>
          <w:sz w:val="24"/>
          <w:szCs w:val="24"/>
          <w:lang w:val="en"/>
        </w:rPr>
        <w:t>our Nation’s resources and assets to support both environmental and economic health. The physical properties of stewardship</w:t>
      </w:r>
      <w:r>
        <w:rPr>
          <w:rFonts w:ascii="Times New Roman" w:hAnsi="Times New Roman"/>
          <w:sz w:val="24"/>
          <w:szCs w:val="24"/>
          <w:lang w:val="en"/>
        </w:rPr>
        <w:t xml:space="preserve"> </w:t>
      </w:r>
      <w:r w:rsidR="007E5C14">
        <w:rPr>
          <w:rFonts w:ascii="Times New Roman" w:hAnsi="Times New Roman"/>
          <w:sz w:val="24"/>
          <w:szCs w:val="24"/>
          <w:lang w:val="en"/>
        </w:rPr>
        <w:t>PP&amp;E</w:t>
      </w:r>
      <w:r w:rsidRPr="00EA63AF">
        <w:rPr>
          <w:rFonts w:ascii="Times New Roman" w:hAnsi="Times New Roman"/>
          <w:sz w:val="24"/>
          <w:szCs w:val="24"/>
          <w:lang w:val="en"/>
        </w:rPr>
        <w:t xml:space="preserve"> resemble those of General PP&amp;E that is capitalized traditionally in the Balance Sheet of the financial </w:t>
      </w:r>
      <w:r w:rsidR="00447A29">
        <w:rPr>
          <w:rFonts w:ascii="Times New Roman" w:hAnsi="Times New Roman"/>
          <w:sz w:val="24"/>
          <w:szCs w:val="24"/>
          <w:lang w:val="en"/>
        </w:rPr>
        <w:t xml:space="preserve">statements of federal </w:t>
      </w:r>
      <w:r w:rsidRPr="00EA63AF">
        <w:rPr>
          <w:rFonts w:ascii="Times New Roman" w:hAnsi="Times New Roman"/>
          <w:sz w:val="24"/>
          <w:szCs w:val="24"/>
          <w:lang w:val="en"/>
        </w:rPr>
        <w:t>entities. Due to the nature of these assets, however, valuation would be difficult and matching costs with specific periods would</w:t>
      </w:r>
      <w:r>
        <w:rPr>
          <w:rFonts w:ascii="Times New Roman" w:hAnsi="Times New Roman"/>
          <w:sz w:val="24"/>
          <w:szCs w:val="24"/>
          <w:lang w:val="en"/>
        </w:rPr>
        <w:t xml:space="preserve"> </w:t>
      </w:r>
      <w:r w:rsidRPr="00EA63AF">
        <w:rPr>
          <w:rFonts w:ascii="Times New Roman" w:hAnsi="Times New Roman"/>
          <w:sz w:val="24"/>
          <w:szCs w:val="24"/>
          <w:lang w:val="en"/>
        </w:rPr>
        <w:t>not be meaningful. Therefore, federal accounting standards require the disclosure of the nature and quantity of these assets.</w:t>
      </w:r>
    </w:p>
    <w:p w14:paraId="1C93D3AC" w14:textId="77777777" w:rsidR="00EA63AF" w:rsidRDefault="00EA63AF" w:rsidP="00EA63AF">
      <w:pPr>
        <w:autoSpaceDE w:val="0"/>
        <w:autoSpaceDN w:val="0"/>
        <w:adjustRightInd w:val="0"/>
        <w:spacing w:after="0" w:line="240" w:lineRule="auto"/>
        <w:rPr>
          <w:rFonts w:ascii="Times New Roman" w:hAnsi="Times New Roman"/>
          <w:sz w:val="24"/>
          <w:szCs w:val="24"/>
        </w:rPr>
      </w:pPr>
    </w:p>
    <w:p w14:paraId="6E2C2C46" w14:textId="228C967B" w:rsidR="00EA63AF" w:rsidRPr="000D75E1" w:rsidRDefault="009452F6" w:rsidP="006B180A">
      <w:pPr>
        <w:autoSpaceDE w:val="0"/>
        <w:autoSpaceDN w:val="0"/>
        <w:adjustRightInd w:val="0"/>
        <w:spacing w:after="0" w:line="240" w:lineRule="auto"/>
        <w:rPr>
          <w:rFonts w:ascii="Times New Roman" w:hAnsi="Times New Roman"/>
          <w:b/>
          <w:bCs/>
          <w:i/>
          <w:iCs/>
          <w:color w:val="000000"/>
          <w:sz w:val="24"/>
          <w:szCs w:val="24"/>
          <w:u w:val="single"/>
        </w:rPr>
      </w:pPr>
      <w:r w:rsidRPr="000D75E1">
        <w:rPr>
          <w:rFonts w:ascii="Times New Roman" w:hAnsi="Times New Roman"/>
          <w:b/>
          <w:bCs/>
          <w:i/>
          <w:iCs/>
          <w:color w:val="000000"/>
          <w:sz w:val="24"/>
          <w:szCs w:val="24"/>
          <w:u w:val="single"/>
        </w:rPr>
        <w:t xml:space="preserve">Stewardship </w:t>
      </w:r>
      <w:r w:rsidR="002067DF">
        <w:rPr>
          <w:rFonts w:ascii="Times New Roman" w:hAnsi="Times New Roman"/>
          <w:b/>
          <w:bCs/>
          <w:i/>
          <w:iCs/>
          <w:color w:val="000000"/>
          <w:sz w:val="24"/>
          <w:szCs w:val="24"/>
          <w:u w:val="single"/>
        </w:rPr>
        <w:t>National Marine Sanctuaries, Marine National Mo</w:t>
      </w:r>
      <w:r w:rsidR="00542EBC">
        <w:rPr>
          <w:rFonts w:ascii="Times New Roman" w:hAnsi="Times New Roman"/>
          <w:b/>
          <w:bCs/>
          <w:i/>
          <w:iCs/>
          <w:color w:val="000000"/>
          <w:sz w:val="24"/>
          <w:szCs w:val="24"/>
          <w:u w:val="single"/>
        </w:rPr>
        <w:t>nu</w:t>
      </w:r>
      <w:r w:rsidR="002067DF">
        <w:rPr>
          <w:rFonts w:ascii="Times New Roman" w:hAnsi="Times New Roman"/>
          <w:b/>
          <w:bCs/>
          <w:i/>
          <w:iCs/>
          <w:color w:val="000000"/>
          <w:sz w:val="24"/>
          <w:szCs w:val="24"/>
          <w:u w:val="single"/>
        </w:rPr>
        <w:t xml:space="preserve">ments, Conservation Area, </w:t>
      </w:r>
      <w:r w:rsidR="00A95BB6">
        <w:rPr>
          <w:rFonts w:ascii="Times New Roman" w:hAnsi="Times New Roman"/>
          <w:b/>
          <w:bCs/>
          <w:i/>
          <w:iCs/>
          <w:color w:val="000000"/>
          <w:sz w:val="24"/>
          <w:szCs w:val="24"/>
          <w:u w:val="single"/>
        </w:rPr>
        <w:t xml:space="preserve">Rookeries, </w:t>
      </w:r>
      <w:r w:rsidR="002067DF">
        <w:rPr>
          <w:rFonts w:ascii="Times New Roman" w:hAnsi="Times New Roman"/>
          <w:b/>
          <w:bCs/>
          <w:i/>
          <w:iCs/>
          <w:color w:val="000000"/>
          <w:sz w:val="24"/>
          <w:szCs w:val="24"/>
          <w:u w:val="single"/>
        </w:rPr>
        <w:t>and Habitat Blueprint</w:t>
      </w:r>
    </w:p>
    <w:p w14:paraId="2FAB7284" w14:textId="77777777" w:rsidR="00EA63AF" w:rsidRDefault="00EA63AF" w:rsidP="006B180A">
      <w:pPr>
        <w:autoSpaceDE w:val="0"/>
        <w:autoSpaceDN w:val="0"/>
        <w:adjustRightInd w:val="0"/>
        <w:spacing w:after="0" w:line="240" w:lineRule="auto"/>
        <w:rPr>
          <w:rFonts w:ascii="Times New Roman" w:hAnsi="Times New Roman"/>
          <w:b/>
          <w:bCs/>
          <w:i/>
          <w:iCs/>
          <w:color w:val="000000"/>
          <w:sz w:val="24"/>
          <w:szCs w:val="24"/>
        </w:rPr>
      </w:pPr>
    </w:p>
    <w:p w14:paraId="2AC423F6" w14:textId="63413584" w:rsidR="002067DF" w:rsidRDefault="002067DF" w:rsidP="009452F6">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Written policy statements or permit guidelines for the National Marine Sanctuaries and Marine National Monuments have been developed for the areas of acoustic impacts, artificial reefs, climate change, invasive species, and marine debris.  Th</w:t>
      </w:r>
      <w:r w:rsidR="00D029AC">
        <w:rPr>
          <w:rFonts w:ascii="Times New Roman" w:hAnsi="Times New Roman"/>
          <w:bCs/>
          <w:iCs/>
          <w:color w:val="000000"/>
          <w:sz w:val="24"/>
          <w:szCs w:val="24"/>
        </w:rPr>
        <w:t>e Office of Marine National Sanc</w:t>
      </w:r>
      <w:r>
        <w:rPr>
          <w:rFonts w:ascii="Times New Roman" w:hAnsi="Times New Roman"/>
          <w:bCs/>
          <w:iCs/>
          <w:color w:val="000000"/>
          <w:sz w:val="24"/>
          <w:szCs w:val="24"/>
        </w:rPr>
        <w:t>tuaries answers the most frequently asked questions relat</w:t>
      </w:r>
      <w:r w:rsidR="00D029AC">
        <w:rPr>
          <w:rFonts w:ascii="Times New Roman" w:hAnsi="Times New Roman"/>
          <w:bCs/>
          <w:iCs/>
          <w:color w:val="000000"/>
          <w:sz w:val="24"/>
          <w:szCs w:val="24"/>
        </w:rPr>
        <w:t>ed to alternative energy and oil</w:t>
      </w:r>
      <w:r>
        <w:rPr>
          <w:rFonts w:ascii="Times New Roman" w:hAnsi="Times New Roman"/>
          <w:bCs/>
          <w:iCs/>
          <w:color w:val="000000"/>
          <w:sz w:val="24"/>
          <w:szCs w:val="24"/>
        </w:rPr>
        <w:t xml:space="preserve"> and gas policy decisions for national marine sanctuaries.</w:t>
      </w:r>
      <w:r w:rsidR="00BC18AA">
        <w:rPr>
          <w:rFonts w:ascii="Times New Roman" w:hAnsi="Times New Roman"/>
          <w:bCs/>
          <w:iCs/>
          <w:color w:val="000000"/>
          <w:sz w:val="24"/>
          <w:szCs w:val="24"/>
        </w:rPr>
        <w:t xml:space="preserve">  </w:t>
      </w:r>
      <w:r w:rsidR="00BC18AA" w:rsidRPr="00BC18AA">
        <w:rPr>
          <w:rFonts w:ascii="Times New Roman" w:hAnsi="Times New Roman"/>
          <w:bCs/>
          <w:iCs/>
          <w:color w:val="000000"/>
          <w:sz w:val="24"/>
          <w:szCs w:val="24"/>
          <w:shd w:val="clear" w:color="auto" w:fill="FF0000"/>
        </w:rPr>
        <w:t>There were no stewardship asset withdrawals for this subcategory in FY 2021.</w:t>
      </w:r>
    </w:p>
    <w:p w14:paraId="64756C6C" w14:textId="77777777" w:rsidR="002067DF" w:rsidRDefault="002067DF" w:rsidP="009452F6">
      <w:pPr>
        <w:autoSpaceDE w:val="0"/>
        <w:autoSpaceDN w:val="0"/>
        <w:adjustRightInd w:val="0"/>
        <w:spacing w:after="0" w:line="240" w:lineRule="auto"/>
        <w:rPr>
          <w:rFonts w:ascii="Times New Roman" w:hAnsi="Times New Roman"/>
          <w:bCs/>
          <w:iCs/>
          <w:color w:val="000000"/>
          <w:sz w:val="24"/>
          <w:szCs w:val="24"/>
        </w:rPr>
      </w:pPr>
    </w:p>
    <w:p w14:paraId="5F54F9CF" w14:textId="2FD0526D" w:rsidR="009452F6" w:rsidRPr="009452F6" w:rsidRDefault="009452F6" w:rsidP="009452F6">
      <w:pPr>
        <w:autoSpaceDE w:val="0"/>
        <w:autoSpaceDN w:val="0"/>
        <w:adjustRightInd w:val="0"/>
        <w:spacing w:after="0" w:line="240" w:lineRule="auto"/>
        <w:rPr>
          <w:rFonts w:ascii="Times New Roman" w:hAnsi="Times New Roman"/>
          <w:bCs/>
          <w:iCs/>
          <w:color w:val="000000"/>
          <w:sz w:val="24"/>
          <w:szCs w:val="24"/>
        </w:rPr>
      </w:pPr>
      <w:r w:rsidRPr="009452F6">
        <w:rPr>
          <w:rFonts w:ascii="Times New Roman" w:hAnsi="Times New Roman"/>
          <w:bCs/>
          <w:iCs/>
          <w:color w:val="000000"/>
          <w:sz w:val="24"/>
          <w:szCs w:val="24"/>
        </w:rPr>
        <w:t>NOAA maintains the following</w:t>
      </w:r>
      <w:r w:rsidR="00E1730E">
        <w:rPr>
          <w:rFonts w:ascii="Times New Roman" w:hAnsi="Times New Roman"/>
          <w:bCs/>
          <w:iCs/>
          <w:color w:val="000000"/>
          <w:sz w:val="24"/>
          <w:szCs w:val="24"/>
        </w:rPr>
        <w:t xml:space="preserve"> stewardship assets</w:t>
      </w:r>
      <w:r w:rsidRPr="009452F6">
        <w:rPr>
          <w:rFonts w:ascii="Times New Roman" w:hAnsi="Times New Roman"/>
          <w:bCs/>
          <w:iCs/>
          <w:color w:val="000000"/>
          <w:sz w:val="24"/>
          <w:szCs w:val="24"/>
        </w:rPr>
        <w:t>:</w:t>
      </w:r>
    </w:p>
    <w:p w14:paraId="5A005B74" w14:textId="77777777" w:rsidR="009452F6" w:rsidRDefault="009452F6" w:rsidP="009452F6">
      <w:pPr>
        <w:autoSpaceDE w:val="0"/>
        <w:autoSpaceDN w:val="0"/>
        <w:adjustRightInd w:val="0"/>
        <w:spacing w:after="0" w:line="240" w:lineRule="auto"/>
        <w:rPr>
          <w:rFonts w:ascii="Times New Roman" w:hAnsi="Times New Roman"/>
          <w:bCs/>
          <w:iCs/>
          <w:color w:val="000000"/>
          <w:sz w:val="24"/>
          <w:szCs w:val="24"/>
        </w:rPr>
      </w:pPr>
    </w:p>
    <w:p w14:paraId="5AC16880" w14:textId="77777777" w:rsidR="009452F6" w:rsidRPr="009452F6" w:rsidRDefault="009452F6" w:rsidP="009452F6">
      <w:pPr>
        <w:autoSpaceDE w:val="0"/>
        <w:autoSpaceDN w:val="0"/>
        <w:adjustRightInd w:val="0"/>
        <w:spacing w:after="0" w:line="240" w:lineRule="auto"/>
        <w:rPr>
          <w:rFonts w:ascii="Times New Roman" w:hAnsi="Times New Roman"/>
          <w:bCs/>
          <w:iCs/>
          <w:color w:val="000000"/>
          <w:sz w:val="24"/>
          <w:szCs w:val="24"/>
        </w:rPr>
      </w:pPr>
      <w:r w:rsidRPr="009452F6">
        <w:rPr>
          <w:rFonts w:ascii="Times New Roman" w:hAnsi="Times New Roman"/>
          <w:b/>
          <w:bCs/>
          <w:iCs/>
          <w:color w:val="000000"/>
          <w:sz w:val="24"/>
          <w:szCs w:val="24"/>
        </w:rPr>
        <w:t>National Marine Sanctuaries:</w:t>
      </w:r>
      <w:r w:rsidRPr="009452F6">
        <w:rPr>
          <w:rFonts w:ascii="Times New Roman" w:hAnsi="Times New Roman"/>
          <w:bCs/>
          <w:iCs/>
          <w:color w:val="000000"/>
          <w:sz w:val="24"/>
          <w:szCs w:val="24"/>
        </w:rPr>
        <w:t xml:space="preserve"> In 1972, Congress passed the Marine Protection, Research, and Sanctuaries Act (Act) in response</w:t>
      </w:r>
      <w:r>
        <w:rPr>
          <w:rFonts w:ascii="Times New Roman" w:hAnsi="Times New Roman"/>
          <w:bCs/>
          <w:iCs/>
          <w:color w:val="000000"/>
          <w:sz w:val="24"/>
          <w:szCs w:val="24"/>
        </w:rPr>
        <w:t xml:space="preserve"> </w:t>
      </w:r>
      <w:r w:rsidRPr="009452F6">
        <w:rPr>
          <w:rFonts w:ascii="Times New Roman" w:hAnsi="Times New Roman"/>
          <w:bCs/>
          <w:iCs/>
          <w:color w:val="000000"/>
          <w:sz w:val="24"/>
          <w:szCs w:val="24"/>
        </w:rPr>
        <w:t>to a growing awareness of the intrinsic environmental and cultural value of coastal waters. The Act authorized the Secretary of</w:t>
      </w:r>
      <w:r>
        <w:rPr>
          <w:rFonts w:ascii="Times New Roman" w:hAnsi="Times New Roman"/>
          <w:bCs/>
          <w:iCs/>
          <w:color w:val="000000"/>
          <w:sz w:val="24"/>
          <w:szCs w:val="24"/>
        </w:rPr>
        <w:t xml:space="preserve"> </w:t>
      </w:r>
      <w:r w:rsidRPr="009452F6">
        <w:rPr>
          <w:rFonts w:ascii="Times New Roman" w:hAnsi="Times New Roman"/>
          <w:bCs/>
          <w:iCs/>
          <w:color w:val="000000"/>
          <w:sz w:val="24"/>
          <w:szCs w:val="24"/>
        </w:rPr>
        <w:t>Commerce to designate special nationally-significant areas of the marine environment as national marine sanctuaries.</w:t>
      </w:r>
    </w:p>
    <w:p w14:paraId="48D2DDE7" w14:textId="77777777" w:rsidR="00324096" w:rsidRDefault="00324096" w:rsidP="009452F6">
      <w:pPr>
        <w:autoSpaceDE w:val="0"/>
        <w:autoSpaceDN w:val="0"/>
        <w:adjustRightInd w:val="0"/>
        <w:spacing w:after="0" w:line="240" w:lineRule="auto"/>
        <w:rPr>
          <w:rFonts w:ascii="Times New Roman" w:hAnsi="Times New Roman"/>
          <w:bCs/>
          <w:iCs/>
          <w:color w:val="000000"/>
          <w:sz w:val="24"/>
          <w:szCs w:val="24"/>
        </w:rPr>
      </w:pPr>
    </w:p>
    <w:p w14:paraId="5C97B3DE" w14:textId="22F86B2B" w:rsidR="007215E3" w:rsidRPr="008646F0" w:rsidRDefault="009452F6" w:rsidP="007215E3">
      <w:pPr>
        <w:autoSpaceDE w:val="0"/>
        <w:autoSpaceDN w:val="0"/>
        <w:adjustRightInd w:val="0"/>
        <w:spacing w:after="0" w:line="240" w:lineRule="auto"/>
        <w:rPr>
          <w:rFonts w:ascii="Times New Roman" w:hAnsi="Times New Roman"/>
          <w:bCs/>
          <w:iCs/>
          <w:color w:val="000000"/>
          <w:sz w:val="24"/>
          <w:szCs w:val="24"/>
          <w:highlight w:val="red"/>
        </w:rPr>
      </w:pPr>
      <w:r w:rsidRPr="003D7191">
        <w:rPr>
          <w:rFonts w:ascii="Times New Roman" w:hAnsi="Times New Roman"/>
          <w:bCs/>
          <w:iCs/>
          <w:color w:val="000000"/>
          <w:sz w:val="24"/>
          <w:szCs w:val="24"/>
        </w:rPr>
        <w:t xml:space="preserve">These protected waters provide a secure habitat for species close to extinction, and also protect historically significant shipwrecks and prehistoric artifacts. National marine sanctuaries are also used for recreation (e.g., boating, diving, and sport fishing), and support valuable commercial industries such as fishing and kelp harvesting. </w:t>
      </w:r>
      <w:r w:rsidR="007215E3" w:rsidRPr="003D7191">
        <w:rPr>
          <w:rFonts w:ascii="Times New Roman" w:hAnsi="Times New Roman"/>
          <w:bCs/>
          <w:iCs/>
          <w:color w:val="000000"/>
          <w:sz w:val="24"/>
          <w:szCs w:val="24"/>
        </w:rPr>
        <w:t xml:space="preserve"> </w:t>
      </w:r>
      <w:r w:rsidR="007215E3" w:rsidRPr="008646F0">
        <w:rPr>
          <w:rFonts w:ascii="Times New Roman" w:hAnsi="Times New Roman"/>
          <w:bCs/>
          <w:iCs/>
          <w:color w:val="000000"/>
          <w:sz w:val="24"/>
          <w:szCs w:val="24"/>
          <w:highlight w:val="red"/>
        </w:rPr>
        <w:t xml:space="preserve">As of </w:t>
      </w:r>
      <w:r w:rsidR="00A873FA">
        <w:rPr>
          <w:rFonts w:ascii="Times New Roman" w:hAnsi="Times New Roman"/>
          <w:bCs/>
          <w:iCs/>
          <w:color w:val="000000"/>
          <w:sz w:val="24"/>
          <w:szCs w:val="24"/>
          <w:highlight w:val="red"/>
        </w:rPr>
        <w:t>June</w:t>
      </w:r>
      <w:r w:rsidR="00166BA9" w:rsidRPr="008646F0">
        <w:rPr>
          <w:rFonts w:ascii="Times New Roman" w:hAnsi="Times New Roman"/>
          <w:bCs/>
          <w:iCs/>
          <w:color w:val="000000"/>
          <w:sz w:val="24"/>
          <w:szCs w:val="24"/>
          <w:highlight w:val="red"/>
        </w:rPr>
        <w:t xml:space="preserve"> 3</w:t>
      </w:r>
      <w:r w:rsidR="00A873FA">
        <w:rPr>
          <w:rFonts w:ascii="Times New Roman" w:hAnsi="Times New Roman"/>
          <w:bCs/>
          <w:iCs/>
          <w:color w:val="000000"/>
          <w:sz w:val="24"/>
          <w:szCs w:val="24"/>
          <w:highlight w:val="red"/>
        </w:rPr>
        <w:t>0</w:t>
      </w:r>
      <w:r w:rsidR="00AE09FA" w:rsidRPr="008646F0">
        <w:rPr>
          <w:rFonts w:ascii="Times New Roman" w:hAnsi="Times New Roman"/>
          <w:bCs/>
          <w:iCs/>
          <w:color w:val="000000"/>
          <w:sz w:val="24"/>
          <w:szCs w:val="24"/>
          <w:highlight w:val="red"/>
        </w:rPr>
        <w:t>,</w:t>
      </w:r>
      <w:r w:rsidR="00E81359">
        <w:rPr>
          <w:rFonts w:ascii="Times New Roman" w:hAnsi="Times New Roman"/>
          <w:bCs/>
          <w:iCs/>
          <w:color w:val="000000"/>
          <w:sz w:val="24"/>
          <w:szCs w:val="24"/>
          <w:highlight w:val="red"/>
        </w:rPr>
        <w:t xml:space="preserve"> 2021</w:t>
      </w:r>
      <w:r w:rsidR="00A24C03" w:rsidRPr="008646F0">
        <w:rPr>
          <w:rFonts w:ascii="Times New Roman" w:hAnsi="Times New Roman"/>
          <w:bCs/>
          <w:iCs/>
          <w:color w:val="000000"/>
          <w:sz w:val="24"/>
          <w:szCs w:val="24"/>
          <w:highlight w:val="red"/>
        </w:rPr>
        <w:t>, 14</w:t>
      </w:r>
      <w:r w:rsidR="007215E3" w:rsidRPr="008646F0">
        <w:rPr>
          <w:rFonts w:ascii="Times New Roman" w:hAnsi="Times New Roman"/>
          <w:bCs/>
          <w:iCs/>
          <w:color w:val="000000"/>
          <w:sz w:val="24"/>
          <w:szCs w:val="24"/>
          <w:highlight w:val="red"/>
        </w:rPr>
        <w:t xml:space="preserve"> National Marine</w:t>
      </w:r>
    </w:p>
    <w:p w14:paraId="42DC3A65" w14:textId="7D390914" w:rsidR="007215E3" w:rsidRPr="003D7191" w:rsidRDefault="007215E3" w:rsidP="007215E3">
      <w:pPr>
        <w:autoSpaceDE w:val="0"/>
        <w:autoSpaceDN w:val="0"/>
        <w:adjustRightInd w:val="0"/>
        <w:spacing w:after="0" w:line="240" w:lineRule="auto"/>
        <w:rPr>
          <w:rFonts w:ascii="Times New Roman" w:hAnsi="Times New Roman"/>
          <w:bCs/>
          <w:iCs/>
          <w:color w:val="000000"/>
          <w:sz w:val="24"/>
          <w:szCs w:val="24"/>
        </w:rPr>
      </w:pPr>
      <w:r w:rsidRPr="008646F0">
        <w:rPr>
          <w:rFonts w:ascii="Times New Roman" w:hAnsi="Times New Roman"/>
          <w:bCs/>
          <w:iCs/>
          <w:color w:val="000000"/>
          <w:sz w:val="24"/>
          <w:szCs w:val="24"/>
          <w:highlight w:val="red"/>
        </w:rPr>
        <w:t xml:space="preserve">Sanctuaries, which include both coastal and offshore areas, have been designated, </w:t>
      </w:r>
      <w:r w:rsidR="002067DF" w:rsidRPr="008646F0">
        <w:rPr>
          <w:rFonts w:ascii="Times New Roman" w:hAnsi="Times New Roman"/>
          <w:bCs/>
          <w:iCs/>
          <w:color w:val="000000"/>
          <w:sz w:val="24"/>
          <w:szCs w:val="24"/>
          <w:highlight w:val="red"/>
        </w:rPr>
        <w:t>as</w:t>
      </w:r>
      <w:r w:rsidR="002067DF" w:rsidRPr="003D7191">
        <w:rPr>
          <w:rFonts w:ascii="Times New Roman" w:hAnsi="Times New Roman"/>
          <w:bCs/>
          <w:iCs/>
          <w:color w:val="000000"/>
          <w:sz w:val="24"/>
          <w:szCs w:val="24"/>
        </w:rPr>
        <w:t xml:space="preserve"> follows:</w:t>
      </w:r>
    </w:p>
    <w:p w14:paraId="101E3423" w14:textId="7BC03A91" w:rsidR="002067DF" w:rsidRPr="003D7191" w:rsidRDefault="002067DF" w:rsidP="007215E3">
      <w:pPr>
        <w:autoSpaceDE w:val="0"/>
        <w:autoSpaceDN w:val="0"/>
        <w:adjustRightInd w:val="0"/>
        <w:spacing w:after="0" w:line="240" w:lineRule="auto"/>
        <w:rPr>
          <w:rFonts w:ascii="Times New Roman" w:hAnsi="Times New Roman"/>
          <w:bCs/>
          <w:iCs/>
          <w:color w:val="000000"/>
          <w:sz w:val="24"/>
          <w:szCs w:val="24"/>
        </w:rPr>
      </w:pPr>
    </w:p>
    <w:tbl>
      <w:tblPr>
        <w:tblStyle w:val="GridTable2-Accent1"/>
        <w:tblW w:w="0" w:type="auto"/>
        <w:jc w:val="center"/>
        <w:tblLook w:val="04A0" w:firstRow="1" w:lastRow="0" w:firstColumn="1" w:lastColumn="0" w:noHBand="0" w:noVBand="1"/>
      </w:tblPr>
      <w:tblGrid>
        <w:gridCol w:w="6380"/>
        <w:gridCol w:w="1890"/>
      </w:tblGrid>
      <w:tr w:rsidR="002067DF" w:rsidRPr="003D7191" w14:paraId="35973604" w14:textId="77777777" w:rsidTr="00A95BB6">
        <w:trPr>
          <w:cnfStyle w:val="100000000000" w:firstRow="1" w:lastRow="0"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6380" w:type="dxa"/>
            <w:tcBorders>
              <w:top w:val="single" w:sz="4" w:space="0" w:color="4F81BD" w:themeColor="accent1"/>
              <w:left w:val="single" w:sz="4" w:space="0" w:color="4F81BD" w:themeColor="accent1"/>
              <w:right w:val="single" w:sz="4" w:space="0" w:color="4F81BD" w:themeColor="accent1"/>
            </w:tcBorders>
          </w:tcPr>
          <w:p w14:paraId="736D8333" w14:textId="77777777" w:rsidR="002067DF" w:rsidRPr="003D7191" w:rsidRDefault="002067DF" w:rsidP="002067DF">
            <w:pPr>
              <w:spacing w:after="0" w:line="240" w:lineRule="auto"/>
              <w:jc w:val="center"/>
              <w:rPr>
                <w:rFonts w:ascii="Times New Roman" w:eastAsia="Times New Roman" w:hAnsi="Times New Roman"/>
                <w:b w:val="0"/>
                <w:bCs w:val="0"/>
                <w:sz w:val="24"/>
                <w:szCs w:val="24"/>
              </w:rPr>
            </w:pPr>
            <w:r w:rsidRPr="003D7191">
              <w:rPr>
                <w:rFonts w:ascii="Times New Roman" w:eastAsia="Times New Roman" w:hAnsi="Times New Roman"/>
                <w:sz w:val="24"/>
                <w:szCs w:val="24"/>
              </w:rPr>
              <w:t>Name</w:t>
            </w:r>
          </w:p>
        </w:tc>
        <w:tc>
          <w:tcPr>
            <w:tcW w:w="1890" w:type="dxa"/>
            <w:tcBorders>
              <w:top w:val="single" w:sz="4" w:space="0" w:color="4F81BD" w:themeColor="accent1"/>
              <w:left w:val="single" w:sz="4" w:space="0" w:color="4F81BD" w:themeColor="accent1"/>
              <w:right w:val="single" w:sz="4" w:space="0" w:color="4F81BD" w:themeColor="accent1"/>
            </w:tcBorders>
          </w:tcPr>
          <w:p w14:paraId="4B4F204E" w14:textId="77777777" w:rsidR="002067DF" w:rsidRPr="008646F0" w:rsidRDefault="002067DF" w:rsidP="002067D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highlight w:val="red"/>
              </w:rPr>
            </w:pPr>
            <w:r w:rsidRPr="008646F0">
              <w:rPr>
                <w:rFonts w:ascii="Times New Roman" w:eastAsia="Times New Roman" w:hAnsi="Times New Roman"/>
                <w:sz w:val="24"/>
                <w:szCs w:val="24"/>
                <w:highlight w:val="red"/>
              </w:rPr>
              <w:t>Protected Area Square Miles</w:t>
            </w:r>
          </w:p>
        </w:tc>
      </w:tr>
      <w:tr w:rsidR="002067DF" w:rsidRPr="003D7191" w14:paraId="5E1AC4E3" w14:textId="77777777" w:rsidTr="00A95BB6">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6BB03DEE" w14:textId="77777777"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Channel Islands National Marine Sanctuary</w:t>
            </w:r>
          </w:p>
        </w:tc>
        <w:tc>
          <w:tcPr>
            <w:tcW w:w="1890" w:type="dxa"/>
            <w:tcBorders>
              <w:right w:val="single" w:sz="4" w:space="0" w:color="4F81BD" w:themeColor="accent1"/>
            </w:tcBorders>
          </w:tcPr>
          <w:p w14:paraId="6344B684" w14:textId="791E33CC" w:rsidR="002067DF" w:rsidRPr="008646F0" w:rsidRDefault="00A873FA" w:rsidP="002067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Pr>
                <w:rFonts w:ascii="Times New Roman" w:eastAsia="Cambria" w:hAnsi="Times New Roman"/>
                <w:sz w:val="24"/>
                <w:szCs w:val="24"/>
                <w:highlight w:val="red"/>
              </w:rPr>
              <w:t>1,471</w:t>
            </w:r>
          </w:p>
        </w:tc>
      </w:tr>
      <w:tr w:rsidR="002067DF" w:rsidRPr="003D7191" w14:paraId="60EEC585" w14:textId="77777777" w:rsidTr="00A95BB6">
        <w:trPr>
          <w:trHeight w:val="27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529722D3" w14:textId="77777777"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Cordell Bank National Marine Sanctuary</w:t>
            </w:r>
          </w:p>
        </w:tc>
        <w:tc>
          <w:tcPr>
            <w:tcW w:w="1890" w:type="dxa"/>
            <w:tcBorders>
              <w:right w:val="single" w:sz="4" w:space="0" w:color="4F81BD" w:themeColor="accent1"/>
            </w:tcBorders>
          </w:tcPr>
          <w:p w14:paraId="0B1FE05B" w14:textId="77777777" w:rsidR="002067DF" w:rsidRPr="008646F0" w:rsidRDefault="002067DF" w:rsidP="002067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trike/>
                <w:sz w:val="24"/>
                <w:szCs w:val="24"/>
                <w:highlight w:val="red"/>
              </w:rPr>
            </w:pPr>
            <w:r w:rsidRPr="008646F0">
              <w:rPr>
                <w:rFonts w:ascii="Times New Roman" w:eastAsia="Cambria" w:hAnsi="Times New Roman"/>
                <w:sz w:val="24"/>
                <w:szCs w:val="24"/>
                <w:highlight w:val="red"/>
              </w:rPr>
              <w:t>1,286</w:t>
            </w:r>
          </w:p>
        </w:tc>
      </w:tr>
      <w:tr w:rsidR="002067DF" w:rsidRPr="003D7191" w14:paraId="6363B026" w14:textId="77777777" w:rsidTr="00A95BB6">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40D54A84" w14:textId="77777777"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Florida Keys National Marine Sanctuary</w:t>
            </w:r>
          </w:p>
        </w:tc>
        <w:tc>
          <w:tcPr>
            <w:tcW w:w="1890" w:type="dxa"/>
            <w:tcBorders>
              <w:right w:val="single" w:sz="4" w:space="0" w:color="4F81BD" w:themeColor="accent1"/>
            </w:tcBorders>
          </w:tcPr>
          <w:p w14:paraId="51988644" w14:textId="6A8CFD2C" w:rsidR="002067DF" w:rsidRPr="008646F0" w:rsidRDefault="00A873FA" w:rsidP="002067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Pr>
                <w:rFonts w:ascii="Times New Roman" w:eastAsia="Cambria" w:hAnsi="Times New Roman"/>
                <w:sz w:val="24"/>
                <w:szCs w:val="24"/>
                <w:highlight w:val="red"/>
              </w:rPr>
              <w:t>3,803</w:t>
            </w:r>
          </w:p>
        </w:tc>
      </w:tr>
      <w:tr w:rsidR="002067DF" w:rsidRPr="003D7191" w14:paraId="5C7FC2DA" w14:textId="77777777" w:rsidTr="00A95BB6">
        <w:trPr>
          <w:trHeight w:val="27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2645BD42" w14:textId="77777777"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Flower Garden Banks National Marine Sanctuary</w:t>
            </w:r>
          </w:p>
        </w:tc>
        <w:tc>
          <w:tcPr>
            <w:tcW w:w="1890" w:type="dxa"/>
            <w:tcBorders>
              <w:right w:val="single" w:sz="4" w:space="0" w:color="4F81BD" w:themeColor="accent1"/>
            </w:tcBorders>
          </w:tcPr>
          <w:p w14:paraId="5C7A579B" w14:textId="42181F0F" w:rsidR="002067DF" w:rsidRPr="008646F0" w:rsidRDefault="00A873FA" w:rsidP="002067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z w:val="24"/>
                <w:szCs w:val="24"/>
                <w:highlight w:val="red"/>
              </w:rPr>
            </w:pPr>
            <w:r>
              <w:rPr>
                <w:rFonts w:ascii="Times New Roman" w:eastAsia="Cambria" w:hAnsi="Times New Roman"/>
                <w:sz w:val="24"/>
                <w:szCs w:val="24"/>
                <w:highlight w:val="red"/>
              </w:rPr>
              <w:t>160</w:t>
            </w:r>
          </w:p>
        </w:tc>
      </w:tr>
      <w:tr w:rsidR="002067DF" w:rsidRPr="003D7191" w14:paraId="5B07D8D7" w14:textId="77777777" w:rsidTr="00A95BB6">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7014E8F4" w14:textId="77777777"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Gray’s Reef National Marine Sanctuary</w:t>
            </w:r>
          </w:p>
        </w:tc>
        <w:tc>
          <w:tcPr>
            <w:tcW w:w="1890" w:type="dxa"/>
            <w:tcBorders>
              <w:right w:val="single" w:sz="4" w:space="0" w:color="4F81BD" w:themeColor="accent1"/>
            </w:tcBorders>
          </w:tcPr>
          <w:p w14:paraId="6D39BCAB" w14:textId="70CAC1DD" w:rsidR="002067DF" w:rsidRPr="008646F0" w:rsidRDefault="00A873FA" w:rsidP="002067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Pr>
                <w:rFonts w:ascii="Times New Roman" w:eastAsia="Cambria" w:hAnsi="Times New Roman"/>
                <w:sz w:val="24"/>
                <w:szCs w:val="24"/>
                <w:highlight w:val="red"/>
              </w:rPr>
              <w:t>22</w:t>
            </w:r>
          </w:p>
        </w:tc>
      </w:tr>
      <w:tr w:rsidR="002067DF" w:rsidRPr="003D7191" w14:paraId="65B337B9" w14:textId="77777777" w:rsidTr="00A95BB6">
        <w:trPr>
          <w:trHeight w:val="27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19F2B558" w14:textId="77777777"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lastRenderedPageBreak/>
              <w:t xml:space="preserve">Greater </w:t>
            </w:r>
            <w:proofErr w:type="spellStart"/>
            <w:r w:rsidRPr="003D7191">
              <w:rPr>
                <w:rFonts w:ascii="Times New Roman" w:eastAsia="Cambria" w:hAnsi="Times New Roman"/>
                <w:sz w:val="24"/>
                <w:szCs w:val="24"/>
              </w:rPr>
              <w:t>Farallones</w:t>
            </w:r>
            <w:proofErr w:type="spellEnd"/>
            <w:r w:rsidRPr="003D7191">
              <w:rPr>
                <w:rFonts w:ascii="Times New Roman" w:eastAsia="Cambria" w:hAnsi="Times New Roman"/>
                <w:sz w:val="24"/>
                <w:szCs w:val="24"/>
              </w:rPr>
              <w:t xml:space="preserve"> National Marine Sanctuary</w:t>
            </w:r>
          </w:p>
        </w:tc>
        <w:tc>
          <w:tcPr>
            <w:tcW w:w="1890" w:type="dxa"/>
            <w:tcBorders>
              <w:right w:val="single" w:sz="4" w:space="0" w:color="4F81BD" w:themeColor="accent1"/>
            </w:tcBorders>
          </w:tcPr>
          <w:p w14:paraId="0F23A665" w14:textId="77777777" w:rsidR="002067DF" w:rsidRPr="008646F0" w:rsidRDefault="002067DF" w:rsidP="002067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trike/>
                <w:sz w:val="24"/>
                <w:szCs w:val="24"/>
                <w:highlight w:val="red"/>
              </w:rPr>
            </w:pPr>
            <w:r w:rsidRPr="008646F0">
              <w:rPr>
                <w:rFonts w:ascii="Times New Roman" w:eastAsia="Cambria" w:hAnsi="Times New Roman"/>
                <w:sz w:val="24"/>
                <w:szCs w:val="24"/>
                <w:highlight w:val="red"/>
              </w:rPr>
              <w:t>3,295</w:t>
            </w:r>
          </w:p>
        </w:tc>
      </w:tr>
      <w:tr w:rsidR="002067DF" w:rsidRPr="003D7191" w14:paraId="1FFDB61D" w14:textId="77777777" w:rsidTr="00A95BB6">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320EA71A" w14:textId="77777777"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Hawaiian Island Humpback Whale National Marine Sanctuary</w:t>
            </w:r>
          </w:p>
        </w:tc>
        <w:tc>
          <w:tcPr>
            <w:tcW w:w="1890" w:type="dxa"/>
            <w:tcBorders>
              <w:right w:val="single" w:sz="4" w:space="0" w:color="4F81BD" w:themeColor="accent1"/>
            </w:tcBorders>
          </w:tcPr>
          <w:p w14:paraId="772D4D5C" w14:textId="6BA67D86" w:rsidR="002067DF" w:rsidRPr="008646F0" w:rsidRDefault="00A873FA" w:rsidP="002067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Pr>
                <w:rFonts w:ascii="Times New Roman" w:eastAsia="Cambria" w:hAnsi="Times New Roman"/>
                <w:sz w:val="24"/>
                <w:szCs w:val="24"/>
                <w:highlight w:val="red"/>
              </w:rPr>
              <w:t>1,366</w:t>
            </w:r>
          </w:p>
        </w:tc>
      </w:tr>
      <w:tr w:rsidR="002067DF" w:rsidRPr="003D7191" w14:paraId="28E214B4" w14:textId="77777777" w:rsidTr="00A95BB6">
        <w:trPr>
          <w:trHeight w:val="25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323368C2" w14:textId="7B08BEF7"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Mallows Bay-Potomac River National Marine Sanctuary</w:t>
            </w:r>
          </w:p>
        </w:tc>
        <w:tc>
          <w:tcPr>
            <w:tcW w:w="1890" w:type="dxa"/>
            <w:tcBorders>
              <w:right w:val="single" w:sz="4" w:space="0" w:color="4F81BD" w:themeColor="accent1"/>
            </w:tcBorders>
          </w:tcPr>
          <w:p w14:paraId="7946B6DC" w14:textId="1992FED9" w:rsidR="002067DF" w:rsidRPr="008646F0" w:rsidRDefault="002067DF" w:rsidP="002067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z w:val="24"/>
                <w:szCs w:val="24"/>
                <w:highlight w:val="red"/>
              </w:rPr>
            </w:pPr>
            <w:r w:rsidRPr="008646F0">
              <w:rPr>
                <w:rFonts w:ascii="Times New Roman" w:eastAsia="Cambria" w:hAnsi="Times New Roman"/>
                <w:sz w:val="24"/>
                <w:szCs w:val="24"/>
                <w:highlight w:val="red"/>
              </w:rPr>
              <w:t>18</w:t>
            </w:r>
          </w:p>
        </w:tc>
      </w:tr>
      <w:tr w:rsidR="002067DF" w:rsidRPr="00276EB3" w14:paraId="4DDF42D0" w14:textId="77777777" w:rsidTr="00A95BB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4C53B013" w14:textId="6FC7DE43"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Monitor National Marine Sanctuary</w:t>
            </w:r>
          </w:p>
        </w:tc>
        <w:tc>
          <w:tcPr>
            <w:tcW w:w="1890" w:type="dxa"/>
            <w:tcBorders>
              <w:right w:val="single" w:sz="4" w:space="0" w:color="4F81BD" w:themeColor="accent1"/>
            </w:tcBorders>
          </w:tcPr>
          <w:p w14:paraId="4196B65F" w14:textId="61A6B3B1" w:rsidR="002067DF" w:rsidRPr="008646F0" w:rsidRDefault="002067DF" w:rsidP="002067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sidRPr="008646F0">
              <w:rPr>
                <w:rFonts w:ascii="Times New Roman" w:eastAsia="Cambria" w:hAnsi="Times New Roman"/>
                <w:sz w:val="24"/>
                <w:szCs w:val="24"/>
                <w:highlight w:val="red"/>
              </w:rPr>
              <w:t>1</w:t>
            </w:r>
          </w:p>
        </w:tc>
      </w:tr>
      <w:tr w:rsidR="002067DF" w:rsidRPr="003D7191" w14:paraId="2920A064" w14:textId="77777777" w:rsidTr="00A95BB6">
        <w:trPr>
          <w:trHeight w:val="25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37F6EE70" w14:textId="1BC0A0B8"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Monterey Bay National Marine Sanctuary</w:t>
            </w:r>
          </w:p>
        </w:tc>
        <w:tc>
          <w:tcPr>
            <w:tcW w:w="1890" w:type="dxa"/>
            <w:tcBorders>
              <w:right w:val="single" w:sz="4" w:space="0" w:color="4F81BD" w:themeColor="accent1"/>
            </w:tcBorders>
          </w:tcPr>
          <w:p w14:paraId="1726087F" w14:textId="56132B74" w:rsidR="002067DF" w:rsidRPr="008646F0" w:rsidRDefault="00A873FA" w:rsidP="002067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z w:val="24"/>
                <w:szCs w:val="24"/>
                <w:highlight w:val="red"/>
              </w:rPr>
            </w:pPr>
            <w:r>
              <w:rPr>
                <w:rFonts w:ascii="Times New Roman" w:eastAsia="Cambria" w:hAnsi="Times New Roman"/>
                <w:sz w:val="24"/>
                <w:szCs w:val="24"/>
                <w:highlight w:val="red"/>
              </w:rPr>
              <w:t>6,094</w:t>
            </w:r>
          </w:p>
        </w:tc>
      </w:tr>
      <w:tr w:rsidR="002067DF" w:rsidRPr="003D7191" w14:paraId="1D034932" w14:textId="77777777" w:rsidTr="00A95BB6">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124DF346" w14:textId="77777777"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National Marine Sanctuary of American Samoa</w:t>
            </w:r>
          </w:p>
        </w:tc>
        <w:tc>
          <w:tcPr>
            <w:tcW w:w="1890" w:type="dxa"/>
            <w:tcBorders>
              <w:right w:val="single" w:sz="4" w:space="0" w:color="4F81BD" w:themeColor="accent1"/>
            </w:tcBorders>
          </w:tcPr>
          <w:p w14:paraId="537A7C66" w14:textId="77777777" w:rsidR="002067DF" w:rsidRPr="008646F0" w:rsidRDefault="002067DF" w:rsidP="002067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sidRPr="008646F0">
              <w:rPr>
                <w:rFonts w:ascii="Times New Roman" w:eastAsia="Cambria" w:hAnsi="Times New Roman"/>
                <w:sz w:val="24"/>
                <w:szCs w:val="24"/>
                <w:highlight w:val="red"/>
              </w:rPr>
              <w:t>13,581</w:t>
            </w:r>
          </w:p>
        </w:tc>
      </w:tr>
      <w:tr w:rsidR="002067DF" w:rsidRPr="003D7191" w14:paraId="32E9E002" w14:textId="77777777" w:rsidTr="00A95BB6">
        <w:trPr>
          <w:trHeight w:val="25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568F22D8" w14:textId="4B76BA0A"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Olympic Coast National Marine Sanctuary</w:t>
            </w:r>
          </w:p>
        </w:tc>
        <w:tc>
          <w:tcPr>
            <w:tcW w:w="1890" w:type="dxa"/>
            <w:tcBorders>
              <w:right w:val="single" w:sz="4" w:space="0" w:color="4F81BD" w:themeColor="accent1"/>
            </w:tcBorders>
          </w:tcPr>
          <w:p w14:paraId="4C389CF2" w14:textId="24CBF896" w:rsidR="002067DF" w:rsidRPr="008646F0" w:rsidRDefault="002067DF" w:rsidP="002067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z w:val="24"/>
                <w:szCs w:val="24"/>
                <w:highlight w:val="red"/>
              </w:rPr>
            </w:pPr>
            <w:r w:rsidRPr="008646F0">
              <w:rPr>
                <w:rFonts w:ascii="Times New Roman" w:eastAsia="Cambria" w:hAnsi="Times New Roman"/>
                <w:sz w:val="24"/>
                <w:szCs w:val="24"/>
                <w:highlight w:val="red"/>
              </w:rPr>
              <w:t>3,189</w:t>
            </w:r>
          </w:p>
        </w:tc>
      </w:tr>
      <w:tr w:rsidR="002067DF" w:rsidRPr="003D7191" w14:paraId="6CD687A5" w14:textId="77777777" w:rsidTr="00A95BB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49E58C1C" w14:textId="7554134F" w:rsidR="002067DF" w:rsidRPr="003D7191" w:rsidRDefault="002067DF" w:rsidP="002067DF">
            <w:pPr>
              <w:spacing w:after="0" w:line="240" w:lineRule="auto"/>
              <w:rPr>
                <w:rFonts w:ascii="Times New Roman" w:eastAsia="Cambria" w:hAnsi="Times New Roman"/>
                <w:b w:val="0"/>
                <w:sz w:val="24"/>
                <w:szCs w:val="24"/>
              </w:rPr>
            </w:pPr>
            <w:proofErr w:type="spellStart"/>
            <w:r w:rsidRPr="003D7191">
              <w:rPr>
                <w:rFonts w:ascii="Times New Roman" w:eastAsia="Cambria" w:hAnsi="Times New Roman"/>
                <w:sz w:val="24"/>
                <w:szCs w:val="24"/>
              </w:rPr>
              <w:t>Stellwagen</w:t>
            </w:r>
            <w:proofErr w:type="spellEnd"/>
            <w:r w:rsidRPr="003D7191">
              <w:rPr>
                <w:rFonts w:ascii="Times New Roman" w:eastAsia="Cambria" w:hAnsi="Times New Roman"/>
                <w:sz w:val="24"/>
                <w:szCs w:val="24"/>
              </w:rPr>
              <w:t xml:space="preserve"> Bank National Marine Sanctuary</w:t>
            </w:r>
          </w:p>
        </w:tc>
        <w:tc>
          <w:tcPr>
            <w:tcW w:w="1890" w:type="dxa"/>
            <w:tcBorders>
              <w:right w:val="single" w:sz="4" w:space="0" w:color="4F81BD" w:themeColor="accent1"/>
            </w:tcBorders>
          </w:tcPr>
          <w:p w14:paraId="063CFD85" w14:textId="1C1471CD" w:rsidR="002067DF" w:rsidRPr="008646F0" w:rsidRDefault="00A873FA" w:rsidP="002067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Pr>
                <w:rFonts w:ascii="Times New Roman" w:eastAsia="Cambria" w:hAnsi="Times New Roman"/>
                <w:sz w:val="24"/>
                <w:szCs w:val="24"/>
                <w:highlight w:val="red"/>
              </w:rPr>
              <w:t>846</w:t>
            </w:r>
          </w:p>
        </w:tc>
      </w:tr>
      <w:tr w:rsidR="002067DF" w:rsidRPr="003D7191" w14:paraId="229888DC" w14:textId="77777777" w:rsidTr="00A95BB6">
        <w:trPr>
          <w:trHeight w:val="25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25074BF0" w14:textId="77777777"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Thunder Bay National Marine Sanctuary</w:t>
            </w:r>
          </w:p>
        </w:tc>
        <w:tc>
          <w:tcPr>
            <w:tcW w:w="1890" w:type="dxa"/>
            <w:tcBorders>
              <w:right w:val="single" w:sz="4" w:space="0" w:color="4F81BD" w:themeColor="accent1"/>
            </w:tcBorders>
          </w:tcPr>
          <w:p w14:paraId="23F90098" w14:textId="77777777" w:rsidR="002067DF" w:rsidRPr="008646F0" w:rsidRDefault="002067DF" w:rsidP="002067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z w:val="24"/>
                <w:szCs w:val="24"/>
                <w:highlight w:val="red"/>
              </w:rPr>
            </w:pPr>
            <w:r w:rsidRPr="008646F0">
              <w:rPr>
                <w:rFonts w:ascii="Times New Roman" w:eastAsia="Cambria" w:hAnsi="Times New Roman"/>
                <w:sz w:val="24"/>
                <w:szCs w:val="24"/>
                <w:highlight w:val="red"/>
              </w:rPr>
              <w:t>4,300</w:t>
            </w:r>
          </w:p>
        </w:tc>
      </w:tr>
      <w:tr w:rsidR="002067DF" w:rsidRPr="003D7191" w14:paraId="7C2D18C2" w14:textId="77777777" w:rsidTr="00A95BB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bottom w:val="single" w:sz="4" w:space="0" w:color="4F81BD" w:themeColor="accent1"/>
            </w:tcBorders>
          </w:tcPr>
          <w:p w14:paraId="00EC79F9" w14:textId="56D14872" w:rsidR="002067DF" w:rsidRPr="00FB56B8" w:rsidRDefault="0093721A" w:rsidP="002067DF">
            <w:pPr>
              <w:spacing w:after="0" w:line="240" w:lineRule="auto"/>
              <w:rPr>
                <w:rFonts w:ascii="Times New Roman" w:eastAsia="Cambria" w:hAnsi="Times New Roman"/>
                <w:sz w:val="24"/>
                <w:szCs w:val="24"/>
              </w:rPr>
            </w:pPr>
            <w:r w:rsidRPr="003D7191">
              <w:rPr>
                <w:rFonts w:ascii="Times New Roman" w:eastAsia="Cambria" w:hAnsi="Times New Roman"/>
                <w:sz w:val="24"/>
                <w:szCs w:val="24"/>
              </w:rPr>
              <w:t>Total</w:t>
            </w:r>
          </w:p>
        </w:tc>
        <w:tc>
          <w:tcPr>
            <w:tcW w:w="1890" w:type="dxa"/>
            <w:tcBorders>
              <w:bottom w:val="single" w:sz="4" w:space="0" w:color="4F81BD" w:themeColor="accent1"/>
              <w:right w:val="single" w:sz="4" w:space="0" w:color="4F81BD" w:themeColor="accent1"/>
            </w:tcBorders>
          </w:tcPr>
          <w:p w14:paraId="0B0FE767" w14:textId="5921F38F" w:rsidR="002067DF" w:rsidRPr="008646F0" w:rsidRDefault="00A873FA" w:rsidP="002067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b/>
                <w:sz w:val="24"/>
                <w:szCs w:val="24"/>
                <w:highlight w:val="red"/>
              </w:rPr>
            </w:pPr>
            <w:r>
              <w:rPr>
                <w:rFonts w:ascii="Times New Roman" w:eastAsia="Cambria" w:hAnsi="Times New Roman"/>
                <w:b/>
                <w:sz w:val="24"/>
                <w:szCs w:val="24"/>
                <w:highlight w:val="red"/>
              </w:rPr>
              <w:t>39,432</w:t>
            </w:r>
          </w:p>
        </w:tc>
      </w:tr>
    </w:tbl>
    <w:p w14:paraId="15B8FA01" w14:textId="77777777" w:rsidR="00FB7E15" w:rsidRPr="003D7191" w:rsidRDefault="00FB7E15" w:rsidP="009452F6">
      <w:pPr>
        <w:autoSpaceDE w:val="0"/>
        <w:autoSpaceDN w:val="0"/>
        <w:adjustRightInd w:val="0"/>
        <w:spacing w:after="0" w:line="240" w:lineRule="auto"/>
        <w:rPr>
          <w:rFonts w:ascii="Times New Roman" w:hAnsi="Times New Roman"/>
          <w:bCs/>
          <w:iCs/>
          <w:color w:val="000000"/>
          <w:sz w:val="24"/>
          <w:szCs w:val="24"/>
        </w:rPr>
      </w:pPr>
    </w:p>
    <w:p w14:paraId="7535D42D" w14:textId="77777777" w:rsidR="005C7D33" w:rsidRPr="00FB56B8" w:rsidRDefault="009452F6" w:rsidP="00C9220C">
      <w:pPr>
        <w:autoSpaceDE w:val="0"/>
        <w:autoSpaceDN w:val="0"/>
        <w:adjustRightInd w:val="0"/>
        <w:spacing w:after="0" w:line="240" w:lineRule="auto"/>
        <w:rPr>
          <w:rFonts w:ascii="Times New Roman" w:hAnsi="Times New Roman"/>
          <w:bCs/>
          <w:iCs/>
          <w:color w:val="000000"/>
          <w:sz w:val="24"/>
          <w:szCs w:val="24"/>
        </w:rPr>
      </w:pPr>
      <w:r w:rsidRPr="003D7191">
        <w:rPr>
          <w:rFonts w:ascii="Times New Roman" w:hAnsi="Times New Roman"/>
          <w:b/>
          <w:bCs/>
          <w:iCs/>
          <w:color w:val="000000"/>
          <w:sz w:val="24"/>
          <w:szCs w:val="24"/>
        </w:rPr>
        <w:t>Marine National Monuments:</w:t>
      </w:r>
      <w:r w:rsidRPr="003D7191">
        <w:rPr>
          <w:rFonts w:ascii="Times New Roman" w:hAnsi="Times New Roman"/>
          <w:bCs/>
          <w:iCs/>
          <w:color w:val="000000"/>
          <w:sz w:val="24"/>
          <w:szCs w:val="24"/>
        </w:rPr>
        <w:t xml:space="preserve"> The Marine National Monuments were created to protect the abundant and diverse coral, fish, and seabird populations; to facilitate exploration and scientific research; and to promote public education regarding the value of these national treasures. The establishment of the Monuments provides the opportunity to protect areas of outstanding scientific, cultural, conservation, and aesthetic value, and provide for the long-term preservation of these natural and cultural legacies.</w:t>
      </w:r>
      <w:r w:rsidR="00324096" w:rsidRPr="003D7191">
        <w:rPr>
          <w:rFonts w:ascii="Times New Roman" w:hAnsi="Times New Roman"/>
          <w:bCs/>
          <w:iCs/>
          <w:color w:val="000000"/>
          <w:sz w:val="24"/>
          <w:szCs w:val="24"/>
        </w:rPr>
        <w:t xml:space="preserve"> </w:t>
      </w:r>
      <w:r w:rsidR="00324096" w:rsidRPr="008646F0">
        <w:rPr>
          <w:rFonts w:ascii="Times New Roman" w:hAnsi="Times New Roman"/>
          <w:bCs/>
          <w:iCs/>
          <w:color w:val="000000"/>
          <w:sz w:val="24"/>
          <w:szCs w:val="24"/>
          <w:highlight w:val="red"/>
        </w:rPr>
        <w:t>There are currently five Marine National Monuments</w:t>
      </w:r>
      <w:r w:rsidR="005C7D33" w:rsidRPr="008646F0">
        <w:rPr>
          <w:rFonts w:ascii="Times New Roman" w:hAnsi="Times New Roman"/>
          <w:bCs/>
          <w:iCs/>
          <w:color w:val="000000"/>
          <w:sz w:val="24"/>
          <w:szCs w:val="24"/>
          <w:highlight w:val="red"/>
        </w:rPr>
        <w:t>, as follows</w:t>
      </w:r>
      <w:r w:rsidR="00324096" w:rsidRPr="008646F0">
        <w:rPr>
          <w:rFonts w:ascii="Times New Roman" w:hAnsi="Times New Roman"/>
          <w:bCs/>
          <w:iCs/>
          <w:color w:val="000000"/>
          <w:sz w:val="24"/>
          <w:szCs w:val="24"/>
          <w:highlight w:val="red"/>
        </w:rPr>
        <w:t>:</w:t>
      </w:r>
      <w:r w:rsidR="00324096" w:rsidRPr="00FB56B8">
        <w:rPr>
          <w:rFonts w:ascii="Times New Roman" w:hAnsi="Times New Roman"/>
          <w:bCs/>
          <w:iCs/>
          <w:color w:val="000000"/>
          <w:sz w:val="24"/>
          <w:szCs w:val="24"/>
        </w:rPr>
        <w:t xml:space="preserve"> </w:t>
      </w:r>
    </w:p>
    <w:p w14:paraId="738AAA75" w14:textId="486C804A" w:rsidR="005C7D33" w:rsidRPr="003D7191" w:rsidRDefault="005C7D33" w:rsidP="00C9220C">
      <w:pPr>
        <w:autoSpaceDE w:val="0"/>
        <w:autoSpaceDN w:val="0"/>
        <w:adjustRightInd w:val="0"/>
        <w:spacing w:after="0" w:line="240" w:lineRule="auto"/>
        <w:rPr>
          <w:rFonts w:ascii="Times New Roman" w:hAnsi="Times New Roman"/>
          <w:bCs/>
          <w:iCs/>
          <w:color w:val="000000"/>
          <w:sz w:val="24"/>
          <w:szCs w:val="24"/>
        </w:rPr>
      </w:pPr>
    </w:p>
    <w:tbl>
      <w:tblPr>
        <w:tblStyle w:val="GridTable2-Accent1"/>
        <w:tblW w:w="0" w:type="auto"/>
        <w:jc w:val="center"/>
        <w:tblLook w:val="04A0" w:firstRow="1" w:lastRow="0" w:firstColumn="1" w:lastColumn="0" w:noHBand="0" w:noVBand="1"/>
      </w:tblPr>
      <w:tblGrid>
        <w:gridCol w:w="6470"/>
        <w:gridCol w:w="1710"/>
      </w:tblGrid>
      <w:tr w:rsidR="005C7D33" w:rsidRPr="003D7191" w14:paraId="1A3CFECF" w14:textId="77777777" w:rsidTr="00A95BB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6470" w:type="dxa"/>
            <w:tcBorders>
              <w:top w:val="single" w:sz="4" w:space="0" w:color="4F81BD" w:themeColor="accent1"/>
              <w:left w:val="single" w:sz="4" w:space="0" w:color="4F81BD" w:themeColor="accent1"/>
              <w:right w:val="single" w:sz="4" w:space="0" w:color="4F81BD" w:themeColor="accent1"/>
            </w:tcBorders>
          </w:tcPr>
          <w:p w14:paraId="6C66BA01" w14:textId="7B6D2B66" w:rsidR="005C7D33" w:rsidRPr="00FB56B8" w:rsidRDefault="005C7D33" w:rsidP="005C7D33">
            <w:pPr>
              <w:spacing w:after="0" w:line="240" w:lineRule="auto"/>
              <w:jc w:val="center"/>
              <w:rPr>
                <w:rFonts w:ascii="Times New Roman" w:eastAsia="Cambria" w:hAnsi="Times New Roman"/>
                <w:sz w:val="24"/>
                <w:szCs w:val="24"/>
              </w:rPr>
            </w:pPr>
            <w:r w:rsidRPr="003D7191">
              <w:rPr>
                <w:rFonts w:ascii="Times New Roman" w:eastAsia="Times New Roman" w:hAnsi="Times New Roman"/>
                <w:sz w:val="24"/>
                <w:szCs w:val="24"/>
              </w:rPr>
              <w:t>Name</w:t>
            </w:r>
          </w:p>
        </w:tc>
        <w:tc>
          <w:tcPr>
            <w:tcW w:w="1710" w:type="dxa"/>
            <w:tcBorders>
              <w:top w:val="single" w:sz="4" w:space="0" w:color="4F81BD" w:themeColor="accent1"/>
              <w:left w:val="single" w:sz="4" w:space="0" w:color="4F81BD" w:themeColor="accent1"/>
              <w:right w:val="single" w:sz="4" w:space="0" w:color="4F81BD" w:themeColor="accent1"/>
            </w:tcBorders>
          </w:tcPr>
          <w:p w14:paraId="3BFAA948" w14:textId="2626E75C" w:rsidR="005C7D33" w:rsidRPr="008646F0" w:rsidRDefault="005C7D33" w:rsidP="005C7D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sz w:val="24"/>
                <w:szCs w:val="24"/>
                <w:highlight w:val="red"/>
              </w:rPr>
            </w:pPr>
            <w:r w:rsidRPr="008646F0">
              <w:rPr>
                <w:rFonts w:ascii="Times New Roman" w:eastAsia="Times New Roman" w:hAnsi="Times New Roman"/>
                <w:sz w:val="24"/>
                <w:szCs w:val="24"/>
                <w:highlight w:val="red"/>
              </w:rPr>
              <w:t>Protected Area Square Miles</w:t>
            </w:r>
          </w:p>
        </w:tc>
      </w:tr>
      <w:tr w:rsidR="005C7D33" w:rsidRPr="003D7191" w14:paraId="3FBA16EC" w14:textId="77777777" w:rsidTr="00A95BB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6470" w:type="dxa"/>
            <w:tcBorders>
              <w:left w:val="single" w:sz="4" w:space="0" w:color="4F81BD" w:themeColor="accent1"/>
            </w:tcBorders>
          </w:tcPr>
          <w:p w14:paraId="37F9A1CA" w14:textId="2BB7EADF" w:rsidR="005C7D33" w:rsidRPr="003D7191" w:rsidRDefault="005C7D33" w:rsidP="005C7D33">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Marianas Trench Marine National Monument</w:t>
            </w:r>
          </w:p>
        </w:tc>
        <w:tc>
          <w:tcPr>
            <w:tcW w:w="1710" w:type="dxa"/>
            <w:tcBorders>
              <w:right w:val="single" w:sz="4" w:space="0" w:color="4F81BD" w:themeColor="accent1"/>
            </w:tcBorders>
          </w:tcPr>
          <w:p w14:paraId="7EC0A655" w14:textId="49BA27AE" w:rsidR="005C7D33" w:rsidRPr="008646F0" w:rsidRDefault="005C7D33" w:rsidP="005C7D3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sidRPr="008646F0">
              <w:rPr>
                <w:rFonts w:ascii="Times New Roman" w:eastAsia="Cambria" w:hAnsi="Times New Roman"/>
                <w:sz w:val="24"/>
                <w:szCs w:val="24"/>
                <w:highlight w:val="red"/>
              </w:rPr>
              <w:t>96,714</w:t>
            </w:r>
          </w:p>
        </w:tc>
      </w:tr>
      <w:tr w:rsidR="005C7D33" w:rsidRPr="003D7191" w14:paraId="561F7C91" w14:textId="77777777" w:rsidTr="00A95BB6">
        <w:trPr>
          <w:trHeight w:val="253"/>
          <w:jc w:val="center"/>
        </w:trPr>
        <w:tc>
          <w:tcPr>
            <w:cnfStyle w:val="001000000000" w:firstRow="0" w:lastRow="0" w:firstColumn="1" w:lastColumn="0" w:oddVBand="0" w:evenVBand="0" w:oddHBand="0" w:evenHBand="0" w:firstRowFirstColumn="0" w:firstRowLastColumn="0" w:lastRowFirstColumn="0" w:lastRowLastColumn="0"/>
            <w:tcW w:w="6470" w:type="dxa"/>
            <w:tcBorders>
              <w:left w:val="single" w:sz="4" w:space="0" w:color="4F81BD" w:themeColor="accent1"/>
            </w:tcBorders>
          </w:tcPr>
          <w:p w14:paraId="4D86887E" w14:textId="77777777" w:rsidR="005C7D33" w:rsidRPr="003D7191" w:rsidRDefault="005C7D33" w:rsidP="005C7D33">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Northeast Canyons and Seamounts Marine National Monument</w:t>
            </w:r>
          </w:p>
        </w:tc>
        <w:tc>
          <w:tcPr>
            <w:tcW w:w="1710" w:type="dxa"/>
            <w:tcBorders>
              <w:right w:val="single" w:sz="4" w:space="0" w:color="4F81BD" w:themeColor="accent1"/>
            </w:tcBorders>
          </w:tcPr>
          <w:p w14:paraId="3D2F2EB4" w14:textId="77777777" w:rsidR="005C7D33" w:rsidRPr="008646F0" w:rsidRDefault="005C7D33" w:rsidP="005C7D3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z w:val="24"/>
                <w:szCs w:val="24"/>
                <w:highlight w:val="red"/>
              </w:rPr>
            </w:pPr>
            <w:r w:rsidRPr="008646F0">
              <w:rPr>
                <w:rFonts w:ascii="Times New Roman" w:eastAsia="Cambria" w:hAnsi="Times New Roman"/>
                <w:sz w:val="24"/>
                <w:szCs w:val="24"/>
                <w:highlight w:val="red"/>
              </w:rPr>
              <w:t>4,913</w:t>
            </w:r>
          </w:p>
        </w:tc>
      </w:tr>
      <w:tr w:rsidR="005C7D33" w:rsidRPr="003D7191" w14:paraId="0CFBE795" w14:textId="77777777" w:rsidTr="00A95BB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6470" w:type="dxa"/>
            <w:tcBorders>
              <w:left w:val="single" w:sz="4" w:space="0" w:color="4F81BD" w:themeColor="accent1"/>
            </w:tcBorders>
          </w:tcPr>
          <w:p w14:paraId="7A70F3AC" w14:textId="2BFB44B6" w:rsidR="005C7D33" w:rsidRPr="003D7191" w:rsidRDefault="005C7D33" w:rsidP="005C7D33">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Pacific Remote Islands Marine National Monument</w:t>
            </w:r>
          </w:p>
        </w:tc>
        <w:tc>
          <w:tcPr>
            <w:tcW w:w="1710" w:type="dxa"/>
            <w:tcBorders>
              <w:right w:val="single" w:sz="4" w:space="0" w:color="4F81BD" w:themeColor="accent1"/>
            </w:tcBorders>
          </w:tcPr>
          <w:p w14:paraId="5A410F7C" w14:textId="6187D095" w:rsidR="005C7D33" w:rsidRPr="008646F0" w:rsidRDefault="005C7D33" w:rsidP="005C7D3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sidRPr="008646F0">
              <w:rPr>
                <w:rFonts w:ascii="Times New Roman" w:eastAsia="Cambria" w:hAnsi="Times New Roman"/>
                <w:sz w:val="24"/>
                <w:szCs w:val="24"/>
                <w:highlight w:val="red"/>
              </w:rPr>
              <w:t>490,534</w:t>
            </w:r>
          </w:p>
        </w:tc>
      </w:tr>
      <w:tr w:rsidR="005C7D33" w:rsidRPr="003D7191" w14:paraId="7F79FE10" w14:textId="77777777" w:rsidTr="00A95BB6">
        <w:trPr>
          <w:trHeight w:val="253"/>
          <w:jc w:val="center"/>
        </w:trPr>
        <w:tc>
          <w:tcPr>
            <w:cnfStyle w:val="001000000000" w:firstRow="0" w:lastRow="0" w:firstColumn="1" w:lastColumn="0" w:oddVBand="0" w:evenVBand="0" w:oddHBand="0" w:evenHBand="0" w:firstRowFirstColumn="0" w:firstRowLastColumn="0" w:lastRowFirstColumn="0" w:lastRowLastColumn="0"/>
            <w:tcW w:w="6470" w:type="dxa"/>
            <w:tcBorders>
              <w:left w:val="single" w:sz="4" w:space="0" w:color="4F81BD" w:themeColor="accent1"/>
            </w:tcBorders>
          </w:tcPr>
          <w:p w14:paraId="31A1EECC" w14:textId="34C3B43D" w:rsidR="005C7D33" w:rsidRPr="003D7191" w:rsidRDefault="005C7D33" w:rsidP="005C7D33">
            <w:pPr>
              <w:spacing w:after="0" w:line="240" w:lineRule="auto"/>
              <w:rPr>
                <w:rFonts w:ascii="Times New Roman" w:eastAsia="Cambria" w:hAnsi="Times New Roman"/>
                <w:b w:val="0"/>
                <w:sz w:val="24"/>
                <w:szCs w:val="24"/>
              </w:rPr>
            </w:pPr>
            <w:proofErr w:type="spellStart"/>
            <w:r w:rsidRPr="003D7191">
              <w:rPr>
                <w:rFonts w:ascii="Times New Roman" w:eastAsia="Cambria" w:hAnsi="Times New Roman"/>
                <w:color w:val="000000"/>
                <w:sz w:val="24"/>
                <w:szCs w:val="24"/>
              </w:rPr>
              <w:t>Papahānaumokuākea</w:t>
            </w:r>
            <w:proofErr w:type="spellEnd"/>
            <w:r w:rsidRPr="003D7191">
              <w:rPr>
                <w:rFonts w:ascii="Times New Roman" w:eastAsia="Cambria" w:hAnsi="Times New Roman"/>
                <w:color w:val="000000"/>
                <w:sz w:val="24"/>
                <w:szCs w:val="24"/>
              </w:rPr>
              <w:t xml:space="preserve"> Marine National Monument</w:t>
            </w:r>
          </w:p>
        </w:tc>
        <w:tc>
          <w:tcPr>
            <w:tcW w:w="1710" w:type="dxa"/>
            <w:tcBorders>
              <w:right w:val="single" w:sz="4" w:space="0" w:color="4F81BD" w:themeColor="accent1"/>
            </w:tcBorders>
          </w:tcPr>
          <w:p w14:paraId="2C52CC72" w14:textId="52E646E0" w:rsidR="005C7D33" w:rsidRPr="008646F0" w:rsidRDefault="005C7D33" w:rsidP="005C7D3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z w:val="24"/>
                <w:szCs w:val="24"/>
                <w:highlight w:val="red"/>
              </w:rPr>
            </w:pPr>
            <w:r w:rsidRPr="008646F0">
              <w:rPr>
                <w:rFonts w:ascii="Times New Roman" w:eastAsia="Cambria" w:hAnsi="Times New Roman"/>
                <w:sz w:val="24"/>
                <w:szCs w:val="24"/>
                <w:highlight w:val="red"/>
              </w:rPr>
              <w:t>582,578</w:t>
            </w:r>
          </w:p>
        </w:tc>
      </w:tr>
      <w:tr w:rsidR="005C7D33" w:rsidRPr="003D7191" w14:paraId="3C17689A" w14:textId="77777777" w:rsidTr="00A95BB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6470" w:type="dxa"/>
            <w:tcBorders>
              <w:left w:val="single" w:sz="4" w:space="0" w:color="4F81BD" w:themeColor="accent1"/>
            </w:tcBorders>
          </w:tcPr>
          <w:p w14:paraId="610C934D" w14:textId="6739DA7C" w:rsidR="005C7D33" w:rsidRPr="003D7191" w:rsidRDefault="005C7D33" w:rsidP="005C7D33">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Rose Atoll Marine National Monument</w:t>
            </w:r>
          </w:p>
        </w:tc>
        <w:tc>
          <w:tcPr>
            <w:tcW w:w="1710" w:type="dxa"/>
            <w:tcBorders>
              <w:right w:val="single" w:sz="4" w:space="0" w:color="4F81BD" w:themeColor="accent1"/>
            </w:tcBorders>
          </w:tcPr>
          <w:p w14:paraId="3A7BD7ED" w14:textId="317FC274" w:rsidR="005C7D33" w:rsidRPr="008646F0" w:rsidRDefault="005C7D33" w:rsidP="005C7D3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sidRPr="008646F0">
              <w:rPr>
                <w:rFonts w:ascii="Times New Roman" w:eastAsia="Cambria" w:hAnsi="Times New Roman"/>
                <w:sz w:val="24"/>
                <w:szCs w:val="24"/>
                <w:highlight w:val="red"/>
              </w:rPr>
              <w:t>13,436</w:t>
            </w:r>
          </w:p>
        </w:tc>
      </w:tr>
      <w:tr w:rsidR="005C7D33" w:rsidRPr="00276EB3" w14:paraId="122F3433" w14:textId="77777777" w:rsidTr="00A95BB6">
        <w:trPr>
          <w:trHeight w:val="253"/>
          <w:jc w:val="center"/>
        </w:trPr>
        <w:tc>
          <w:tcPr>
            <w:cnfStyle w:val="001000000000" w:firstRow="0" w:lastRow="0" w:firstColumn="1" w:lastColumn="0" w:oddVBand="0" w:evenVBand="0" w:oddHBand="0" w:evenHBand="0" w:firstRowFirstColumn="0" w:firstRowLastColumn="0" w:lastRowFirstColumn="0" w:lastRowLastColumn="0"/>
            <w:tcW w:w="6470" w:type="dxa"/>
            <w:tcBorders>
              <w:left w:val="single" w:sz="4" w:space="0" w:color="4F81BD" w:themeColor="accent1"/>
              <w:bottom w:val="single" w:sz="4" w:space="0" w:color="4F81BD" w:themeColor="accent1"/>
            </w:tcBorders>
          </w:tcPr>
          <w:p w14:paraId="5BA58525" w14:textId="1380E129" w:rsidR="005C7D33" w:rsidRPr="003D7191" w:rsidRDefault="0093721A" w:rsidP="005C7D33">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Total</w:t>
            </w:r>
          </w:p>
        </w:tc>
        <w:tc>
          <w:tcPr>
            <w:tcW w:w="1710" w:type="dxa"/>
            <w:tcBorders>
              <w:bottom w:val="single" w:sz="4" w:space="0" w:color="4F81BD" w:themeColor="accent1"/>
              <w:right w:val="single" w:sz="4" w:space="0" w:color="4F81BD" w:themeColor="accent1"/>
            </w:tcBorders>
          </w:tcPr>
          <w:p w14:paraId="77F1CC15" w14:textId="77113FB9" w:rsidR="005C7D33" w:rsidRPr="008646F0" w:rsidRDefault="0093721A" w:rsidP="005C7D3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b/>
                <w:sz w:val="24"/>
                <w:szCs w:val="24"/>
                <w:highlight w:val="red"/>
              </w:rPr>
            </w:pPr>
            <w:r w:rsidRPr="008646F0">
              <w:rPr>
                <w:rFonts w:ascii="Times New Roman" w:eastAsia="Cambria" w:hAnsi="Times New Roman"/>
                <w:b/>
                <w:sz w:val="24"/>
                <w:szCs w:val="24"/>
                <w:highlight w:val="red"/>
              </w:rPr>
              <w:t>1,188,175</w:t>
            </w:r>
          </w:p>
        </w:tc>
      </w:tr>
    </w:tbl>
    <w:p w14:paraId="0582603E" w14:textId="77777777" w:rsidR="005C7D33" w:rsidRDefault="005C7D33" w:rsidP="00C9220C">
      <w:pPr>
        <w:autoSpaceDE w:val="0"/>
        <w:autoSpaceDN w:val="0"/>
        <w:adjustRightInd w:val="0"/>
        <w:spacing w:after="0" w:line="240" w:lineRule="auto"/>
        <w:rPr>
          <w:rFonts w:ascii="Times New Roman" w:hAnsi="Times New Roman"/>
          <w:bCs/>
          <w:iCs/>
          <w:color w:val="000000"/>
          <w:sz w:val="24"/>
          <w:szCs w:val="24"/>
        </w:rPr>
      </w:pPr>
    </w:p>
    <w:p w14:paraId="15DFF3D2" w14:textId="780780D5" w:rsidR="005C7D33" w:rsidRDefault="005C7D33" w:rsidP="005C7D33">
      <w:pPr>
        <w:shd w:val="clear" w:color="auto" w:fill="FFFFFF"/>
        <w:spacing w:after="0" w:line="240" w:lineRule="auto"/>
        <w:rPr>
          <w:rFonts w:ascii="Times New Roman" w:eastAsia="Times New Roman" w:hAnsi="Times New Roman"/>
          <w:color w:val="222222"/>
          <w:sz w:val="24"/>
          <w:szCs w:val="24"/>
        </w:rPr>
      </w:pPr>
      <w:r w:rsidRPr="005C7D33">
        <w:rPr>
          <w:rFonts w:ascii="Times New Roman" w:eastAsia="Times New Roman" w:hAnsi="Times New Roman"/>
          <w:color w:val="222222"/>
          <w:sz w:val="24"/>
          <w:szCs w:val="24"/>
        </w:rPr>
        <w:t>Marine</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National</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Monuments</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 xml:space="preserve">are co-managed by </w:t>
      </w:r>
      <w:r>
        <w:rPr>
          <w:rFonts w:ascii="Times New Roman" w:eastAsia="Times New Roman" w:hAnsi="Times New Roman"/>
          <w:color w:val="222222"/>
          <w:sz w:val="24"/>
          <w:szCs w:val="24"/>
        </w:rPr>
        <w:t>NOAA</w:t>
      </w:r>
      <w:r w:rsidRPr="005C7D33">
        <w:rPr>
          <w:rFonts w:ascii="Times New Roman" w:eastAsia="Times New Roman" w:hAnsi="Times New Roman"/>
          <w:color w:val="222222"/>
          <w:sz w:val="24"/>
          <w:szCs w:val="24"/>
        </w:rPr>
        <w:t xml:space="preserve"> and</w:t>
      </w:r>
      <w:r w:rsidR="00E1730E">
        <w:rPr>
          <w:rFonts w:ascii="Times New Roman" w:eastAsia="Times New Roman" w:hAnsi="Times New Roman"/>
          <w:color w:val="222222"/>
          <w:sz w:val="24"/>
          <w:szCs w:val="24"/>
        </w:rPr>
        <w:t xml:space="preserve"> the</w:t>
      </w:r>
      <w:r w:rsidRPr="005C7D33">
        <w:rPr>
          <w:rFonts w:ascii="Times New Roman" w:eastAsia="Times New Roman" w:hAnsi="Times New Roman"/>
          <w:color w:val="222222"/>
          <w:sz w:val="24"/>
          <w:szCs w:val="24"/>
        </w:rPr>
        <w:t xml:space="preserve"> Department of Interior</w:t>
      </w:r>
      <w:r>
        <w:rPr>
          <w:rFonts w:ascii="Times New Roman" w:eastAsia="Times New Roman" w:hAnsi="Times New Roman"/>
          <w:color w:val="222222"/>
          <w:sz w:val="24"/>
          <w:szCs w:val="24"/>
        </w:rPr>
        <w:t>’s U.S. Fish and Wildlife Service</w:t>
      </w:r>
      <w:r w:rsidRPr="005C7D33">
        <w:rPr>
          <w:rFonts w:ascii="Times New Roman" w:eastAsia="Times New Roman" w:hAnsi="Times New Roman"/>
          <w:color w:val="222222"/>
          <w:sz w:val="24"/>
          <w:szCs w:val="24"/>
        </w:rPr>
        <w:t xml:space="preserve"> (USFWS) in cooperation with state and territorial agencies. </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The following legislation provides the authority for NOAA and USFWS to manage, monitor and/or evaluate</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marine</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national</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monuments</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at the federal level. This list is not inclusive.</w:t>
      </w:r>
    </w:p>
    <w:p w14:paraId="393BA5C7" w14:textId="77777777" w:rsidR="005C7D33" w:rsidRPr="005C7D33" w:rsidRDefault="005C7D33" w:rsidP="005C7D33">
      <w:pPr>
        <w:shd w:val="clear" w:color="auto" w:fill="FFFFFF"/>
        <w:spacing w:after="0" w:line="240" w:lineRule="auto"/>
        <w:rPr>
          <w:rFonts w:ascii="Arial" w:eastAsia="Times New Roman" w:hAnsi="Arial" w:cs="Arial"/>
          <w:color w:val="222222"/>
          <w:sz w:val="24"/>
          <w:szCs w:val="24"/>
        </w:rPr>
      </w:pPr>
    </w:p>
    <w:p w14:paraId="7B4F8212" w14:textId="6FDDE7BD" w:rsidR="005C7D33" w:rsidRPr="005C7D33" w:rsidRDefault="005C7D33" w:rsidP="005C7D33">
      <w:pPr>
        <w:pStyle w:val="ListParagraph"/>
        <w:numPr>
          <w:ilvl w:val="0"/>
          <w:numId w:val="23"/>
        </w:numPr>
        <w:shd w:val="clear" w:color="auto" w:fill="FFFFFF"/>
        <w:spacing w:after="0" w:line="240" w:lineRule="auto"/>
        <w:rPr>
          <w:rFonts w:ascii="Arial" w:eastAsia="Times New Roman" w:hAnsi="Arial" w:cs="Arial"/>
          <w:color w:val="222222"/>
          <w:sz w:val="24"/>
          <w:szCs w:val="24"/>
        </w:rPr>
      </w:pPr>
      <w:r w:rsidRPr="005C7D33">
        <w:rPr>
          <w:rFonts w:ascii="Times New Roman" w:eastAsia="Times New Roman" w:hAnsi="Times New Roman"/>
          <w:bCs/>
          <w:color w:val="222222"/>
          <w:sz w:val="24"/>
          <w:szCs w:val="24"/>
        </w:rPr>
        <w:t>Antiquities Act (1906):</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Authorizes the President to declare by public proclamation historic landmarks, historic and prehistoric structures, and other objects of historic or scientific interest that are situated upon the lands owned or controlled by the Government of the United States to be</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national</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 xml:space="preserve">monuments, and may reserve as a part thereof parcels </w:t>
      </w:r>
      <w:r w:rsidRPr="005C7D33">
        <w:rPr>
          <w:rFonts w:ascii="Times New Roman" w:eastAsia="Times New Roman" w:hAnsi="Times New Roman"/>
          <w:color w:val="222222"/>
          <w:sz w:val="24"/>
          <w:szCs w:val="24"/>
        </w:rPr>
        <w:lastRenderedPageBreak/>
        <w:t xml:space="preserve">of land, the limits of which in all cases shall be confined to the smallest area compatible with proper care and management </w:t>
      </w:r>
      <w:r>
        <w:rPr>
          <w:rFonts w:ascii="Times New Roman" w:eastAsia="Times New Roman" w:hAnsi="Times New Roman"/>
          <w:color w:val="222222"/>
          <w:sz w:val="24"/>
          <w:szCs w:val="24"/>
        </w:rPr>
        <w:t>of the objects to be protected.</w:t>
      </w:r>
    </w:p>
    <w:p w14:paraId="7F11A021" w14:textId="77777777" w:rsidR="005C7D33" w:rsidRPr="005C7D33" w:rsidRDefault="005C7D33" w:rsidP="005C7D33">
      <w:pPr>
        <w:pStyle w:val="ListParagraph"/>
        <w:shd w:val="clear" w:color="auto" w:fill="FFFFFF"/>
        <w:spacing w:after="0" w:line="240" w:lineRule="auto"/>
        <w:rPr>
          <w:rFonts w:ascii="Arial" w:eastAsia="Times New Roman" w:hAnsi="Arial" w:cs="Arial"/>
          <w:color w:val="222222"/>
          <w:sz w:val="24"/>
          <w:szCs w:val="24"/>
        </w:rPr>
      </w:pPr>
    </w:p>
    <w:p w14:paraId="2C390C09" w14:textId="146B7C02" w:rsidR="005C7D33" w:rsidRPr="005C7D33" w:rsidRDefault="005C7D33" w:rsidP="005C7D33">
      <w:pPr>
        <w:pStyle w:val="ListParagraph"/>
        <w:numPr>
          <w:ilvl w:val="0"/>
          <w:numId w:val="23"/>
        </w:numPr>
        <w:shd w:val="clear" w:color="auto" w:fill="FFFFFF"/>
        <w:spacing w:after="0" w:line="240" w:lineRule="auto"/>
        <w:rPr>
          <w:rFonts w:ascii="Arial" w:eastAsia="Times New Roman" w:hAnsi="Arial" w:cs="Arial"/>
          <w:color w:val="222222"/>
          <w:sz w:val="24"/>
          <w:szCs w:val="24"/>
        </w:rPr>
      </w:pPr>
      <w:r w:rsidRPr="005C7D33">
        <w:rPr>
          <w:rFonts w:ascii="Times New Roman" w:eastAsia="Times New Roman" w:hAnsi="Times New Roman"/>
          <w:bCs/>
          <w:color w:val="222222"/>
          <w:sz w:val="24"/>
          <w:szCs w:val="24"/>
        </w:rPr>
        <w:t>Endangered Species Act (1973):</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 xml:space="preserve">A 1973 Federal law, amended in 1978 and 1982, to protect troubled species from extinction. </w:t>
      </w:r>
      <w:r>
        <w:rPr>
          <w:rFonts w:ascii="Times New Roman" w:eastAsia="Times New Roman" w:hAnsi="Times New Roman"/>
          <w:color w:val="222222"/>
          <w:sz w:val="24"/>
          <w:szCs w:val="24"/>
        </w:rPr>
        <w:t xml:space="preserve">USFSW </w:t>
      </w:r>
      <w:r w:rsidRPr="005C7D33">
        <w:rPr>
          <w:rFonts w:ascii="Times New Roman" w:eastAsia="Times New Roman" w:hAnsi="Times New Roman"/>
          <w:color w:val="222222"/>
          <w:sz w:val="24"/>
          <w:szCs w:val="24"/>
        </w:rPr>
        <w:t>decide</w:t>
      </w:r>
      <w:r>
        <w:rPr>
          <w:rFonts w:ascii="Times New Roman" w:eastAsia="Times New Roman" w:hAnsi="Times New Roman"/>
          <w:color w:val="222222"/>
          <w:sz w:val="24"/>
          <w:szCs w:val="24"/>
        </w:rPr>
        <w:t>d</w:t>
      </w:r>
      <w:r w:rsidRPr="005C7D33">
        <w:rPr>
          <w:rFonts w:ascii="Times New Roman" w:eastAsia="Times New Roman" w:hAnsi="Times New Roman"/>
          <w:color w:val="222222"/>
          <w:sz w:val="24"/>
          <w:szCs w:val="24"/>
        </w:rPr>
        <w:t xml:space="preserve"> whether to list species as threatened or endangered. Federal agencies must avoid jeopardy to and aid the recovery of listed species. Similar responsibilities apply to non-federal entities.</w:t>
      </w:r>
    </w:p>
    <w:p w14:paraId="607791C7" w14:textId="56562377" w:rsidR="005C7D33" w:rsidRPr="005C7D33" w:rsidRDefault="005C7D33" w:rsidP="005C7D33">
      <w:pPr>
        <w:shd w:val="clear" w:color="auto" w:fill="FFFFFF"/>
        <w:spacing w:after="0" w:line="240" w:lineRule="auto"/>
        <w:rPr>
          <w:rFonts w:ascii="Arial" w:eastAsia="Times New Roman" w:hAnsi="Arial" w:cs="Arial"/>
          <w:color w:val="222222"/>
          <w:sz w:val="24"/>
          <w:szCs w:val="24"/>
        </w:rPr>
      </w:pPr>
    </w:p>
    <w:p w14:paraId="185F692B" w14:textId="7A810468" w:rsidR="005C7D33" w:rsidRPr="005C7D33" w:rsidRDefault="005C7D33" w:rsidP="005C7D33">
      <w:pPr>
        <w:pStyle w:val="ListParagraph"/>
        <w:numPr>
          <w:ilvl w:val="0"/>
          <w:numId w:val="23"/>
        </w:numPr>
        <w:shd w:val="clear" w:color="auto" w:fill="FFFFFF"/>
        <w:spacing w:after="0" w:line="240" w:lineRule="auto"/>
        <w:rPr>
          <w:rFonts w:ascii="Arial" w:eastAsia="Times New Roman" w:hAnsi="Arial" w:cs="Arial"/>
          <w:color w:val="222222"/>
          <w:sz w:val="24"/>
          <w:szCs w:val="24"/>
        </w:rPr>
      </w:pPr>
      <w:r w:rsidRPr="005C7D33">
        <w:rPr>
          <w:rFonts w:ascii="Times New Roman" w:eastAsia="Times New Roman" w:hAnsi="Times New Roman"/>
          <w:bCs/>
          <w:color w:val="222222"/>
          <w:sz w:val="24"/>
          <w:szCs w:val="24"/>
        </w:rPr>
        <w:t>Fish And Wildlife Coordination Act (1934):</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 xml:space="preserve">Provides the basic authority for the </w:t>
      </w:r>
      <w:r>
        <w:rPr>
          <w:rFonts w:ascii="Times New Roman" w:eastAsia="Times New Roman" w:hAnsi="Times New Roman"/>
          <w:color w:val="222222"/>
          <w:sz w:val="24"/>
          <w:szCs w:val="24"/>
        </w:rPr>
        <w:t>National Marine Fisheries Service (</w:t>
      </w:r>
      <w:r w:rsidRPr="005C7D33">
        <w:rPr>
          <w:rFonts w:ascii="Times New Roman" w:eastAsia="Times New Roman" w:hAnsi="Times New Roman"/>
          <w:color w:val="222222"/>
          <w:sz w:val="24"/>
          <w:szCs w:val="24"/>
        </w:rPr>
        <w:t>NMFS</w:t>
      </w:r>
      <w:r>
        <w:rPr>
          <w:rFonts w:ascii="Times New Roman" w:eastAsia="Times New Roman" w:hAnsi="Times New Roman"/>
          <w:color w:val="222222"/>
          <w:sz w:val="24"/>
          <w:szCs w:val="24"/>
        </w:rPr>
        <w:t>)</w:t>
      </w:r>
      <w:r w:rsidRPr="005C7D33">
        <w:rPr>
          <w:rFonts w:ascii="Times New Roman" w:eastAsia="Times New Roman" w:hAnsi="Times New Roman"/>
          <w:color w:val="222222"/>
          <w:sz w:val="24"/>
          <w:szCs w:val="24"/>
        </w:rPr>
        <w:t xml:space="preserve"> and </w:t>
      </w:r>
      <w:r>
        <w:rPr>
          <w:rFonts w:ascii="Times New Roman" w:eastAsia="Times New Roman" w:hAnsi="Times New Roman"/>
          <w:color w:val="222222"/>
          <w:sz w:val="24"/>
          <w:szCs w:val="24"/>
        </w:rPr>
        <w:t>USFWS</w:t>
      </w:r>
      <w:r w:rsidRPr="005C7D33">
        <w:rPr>
          <w:rFonts w:ascii="Times New Roman" w:eastAsia="Times New Roman" w:hAnsi="Times New Roman"/>
          <w:color w:val="222222"/>
          <w:sz w:val="24"/>
          <w:szCs w:val="24"/>
        </w:rPr>
        <w:t>'s involvement in evaluating impacts to fish and wildlife from proposed water resource development projects. It requires that fish and wildlife resources receive equal consideration to other project features. It also requires that federal agencies that construct, license, or permit water resource development projects must first consult with the USFWS and NMFS and state fish and wildlife agencies regarding the impacts on fish and wildlife resources and meas</w:t>
      </w:r>
      <w:r>
        <w:rPr>
          <w:rFonts w:ascii="Times New Roman" w:eastAsia="Times New Roman" w:hAnsi="Times New Roman"/>
          <w:color w:val="222222"/>
          <w:sz w:val="24"/>
          <w:szCs w:val="24"/>
        </w:rPr>
        <w:t>ures to mitigate these impacts.</w:t>
      </w:r>
    </w:p>
    <w:p w14:paraId="7F263741" w14:textId="454F6E0B" w:rsidR="005C7D33" w:rsidRPr="005C7D33" w:rsidRDefault="005C7D33" w:rsidP="005C7D33">
      <w:pPr>
        <w:shd w:val="clear" w:color="auto" w:fill="FFFFFF"/>
        <w:spacing w:after="0" w:line="240" w:lineRule="auto"/>
        <w:rPr>
          <w:rFonts w:ascii="Arial" w:eastAsia="Times New Roman" w:hAnsi="Arial" w:cs="Arial"/>
          <w:color w:val="222222"/>
          <w:sz w:val="24"/>
          <w:szCs w:val="24"/>
        </w:rPr>
      </w:pPr>
    </w:p>
    <w:p w14:paraId="627C0125" w14:textId="341C4345" w:rsidR="00545D5E" w:rsidRPr="00545D5E" w:rsidRDefault="005C7D33" w:rsidP="005C7D33">
      <w:pPr>
        <w:pStyle w:val="ListParagraph"/>
        <w:numPr>
          <w:ilvl w:val="0"/>
          <w:numId w:val="23"/>
        </w:numPr>
        <w:shd w:val="clear" w:color="auto" w:fill="FFFFFF"/>
        <w:spacing w:after="0" w:line="240" w:lineRule="auto"/>
        <w:rPr>
          <w:rFonts w:ascii="Arial" w:eastAsia="Times New Roman" w:hAnsi="Arial" w:cs="Arial"/>
          <w:color w:val="222222"/>
          <w:sz w:val="24"/>
          <w:szCs w:val="24"/>
        </w:rPr>
      </w:pPr>
      <w:r w:rsidRPr="005C7D33">
        <w:rPr>
          <w:rFonts w:ascii="Times New Roman" w:eastAsia="Times New Roman" w:hAnsi="Times New Roman"/>
          <w:bCs/>
          <w:color w:val="222222"/>
          <w:sz w:val="24"/>
          <w:szCs w:val="24"/>
        </w:rPr>
        <w:t>Magnuson-Stevens Fishery Conservation and Management Act (1976; amended 2006):</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Calls for assessment and consideration of ecological, economic, and social impacts of fishing regulations on fishery participants and fishing communities in</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marine</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fishery management plans.</w:t>
      </w:r>
    </w:p>
    <w:p w14:paraId="76710E75" w14:textId="77777777" w:rsidR="00545D5E" w:rsidRPr="00545D5E" w:rsidRDefault="00545D5E" w:rsidP="00545D5E">
      <w:pPr>
        <w:pStyle w:val="ListParagraph"/>
        <w:rPr>
          <w:rFonts w:ascii="Times New Roman" w:eastAsia="Times New Roman" w:hAnsi="Times New Roman"/>
          <w:color w:val="222222"/>
          <w:sz w:val="24"/>
          <w:szCs w:val="24"/>
        </w:rPr>
      </w:pPr>
    </w:p>
    <w:p w14:paraId="03BB8949" w14:textId="604ACC54" w:rsidR="005C7D33" w:rsidRPr="005C7D33" w:rsidRDefault="00545D5E" w:rsidP="005C7D33">
      <w:pPr>
        <w:pStyle w:val="ListParagraph"/>
        <w:numPr>
          <w:ilvl w:val="0"/>
          <w:numId w:val="23"/>
        </w:numPr>
        <w:shd w:val="clear" w:color="auto" w:fill="FFFFFF"/>
        <w:spacing w:after="0" w:line="240" w:lineRule="auto"/>
        <w:rPr>
          <w:rFonts w:ascii="Times New Roman" w:eastAsia="Times New Roman" w:hAnsi="Times New Roman"/>
          <w:color w:val="222222"/>
          <w:sz w:val="24"/>
          <w:szCs w:val="24"/>
        </w:rPr>
      </w:pPr>
      <w:r w:rsidRPr="00545D5E">
        <w:rPr>
          <w:rStyle w:val="il"/>
          <w:rFonts w:ascii="Times New Roman" w:hAnsi="Times New Roman"/>
          <w:bCs/>
          <w:color w:val="222222"/>
          <w:sz w:val="24"/>
          <w:szCs w:val="24"/>
          <w:shd w:val="clear" w:color="auto" w:fill="FFFFFF"/>
        </w:rPr>
        <w:t>Marine</w:t>
      </w:r>
      <w:r w:rsidRPr="00545D5E">
        <w:rPr>
          <w:rFonts w:ascii="Times New Roman" w:hAnsi="Times New Roman"/>
          <w:bCs/>
          <w:color w:val="222222"/>
          <w:sz w:val="24"/>
          <w:szCs w:val="24"/>
          <w:shd w:val="clear" w:color="auto" w:fill="FFFFFF"/>
        </w:rPr>
        <w:t> Mammal Protection Act (1972): </w:t>
      </w:r>
      <w:r w:rsidRPr="00545D5E">
        <w:rPr>
          <w:rFonts w:ascii="Times New Roman" w:hAnsi="Times New Roman"/>
          <w:color w:val="222222"/>
          <w:sz w:val="24"/>
          <w:szCs w:val="24"/>
          <w:shd w:val="clear" w:color="auto" w:fill="FFFFFF"/>
        </w:rPr>
        <w:t>Es</w:t>
      </w:r>
      <w:r>
        <w:rPr>
          <w:rFonts w:ascii="Times New Roman" w:hAnsi="Times New Roman"/>
          <w:color w:val="222222"/>
          <w:sz w:val="24"/>
          <w:szCs w:val="24"/>
          <w:shd w:val="clear" w:color="auto" w:fill="FFFFFF"/>
        </w:rPr>
        <w:t xml:space="preserve">tablished to protect and manage </w:t>
      </w:r>
      <w:r w:rsidRPr="00545D5E">
        <w:rPr>
          <w:rStyle w:val="il"/>
          <w:rFonts w:ascii="Times New Roman" w:hAnsi="Times New Roman"/>
          <w:color w:val="222222"/>
          <w:sz w:val="24"/>
          <w:szCs w:val="24"/>
          <w:shd w:val="clear" w:color="auto" w:fill="FFFFFF"/>
        </w:rPr>
        <w:t>marine</w:t>
      </w:r>
      <w:r>
        <w:rPr>
          <w:rFonts w:ascii="Times New Roman" w:hAnsi="Times New Roman"/>
          <w:color w:val="222222"/>
          <w:sz w:val="24"/>
          <w:szCs w:val="24"/>
          <w:shd w:val="clear" w:color="auto" w:fill="FFFFFF"/>
        </w:rPr>
        <w:t xml:space="preserve"> </w:t>
      </w:r>
      <w:r w:rsidRPr="00545D5E">
        <w:rPr>
          <w:rFonts w:ascii="Times New Roman" w:hAnsi="Times New Roman"/>
          <w:color w:val="222222"/>
          <w:sz w:val="24"/>
          <w:szCs w:val="24"/>
          <w:shd w:val="clear" w:color="auto" w:fill="FFFFFF"/>
        </w:rPr>
        <w:t xml:space="preserve">mammals and their products (e.g., the use of hides and meat). The primary authority for implementing the act belongs to the </w:t>
      </w:r>
      <w:r>
        <w:rPr>
          <w:rFonts w:ascii="Times New Roman" w:hAnsi="Times New Roman"/>
          <w:color w:val="222222"/>
          <w:sz w:val="24"/>
          <w:szCs w:val="24"/>
          <w:shd w:val="clear" w:color="auto" w:fill="FFFFFF"/>
        </w:rPr>
        <w:t>NMFS and USFW</w:t>
      </w:r>
      <w:r w:rsidRPr="00545D5E">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The Act prohibits the "take" of </w:t>
      </w:r>
      <w:r w:rsidRPr="00545D5E">
        <w:rPr>
          <w:rStyle w:val="il"/>
          <w:rFonts w:ascii="Times New Roman" w:hAnsi="Times New Roman"/>
          <w:color w:val="222222"/>
          <w:sz w:val="24"/>
          <w:szCs w:val="24"/>
          <w:shd w:val="clear" w:color="auto" w:fill="FFFFFF"/>
        </w:rPr>
        <w:t>marine</w:t>
      </w:r>
      <w:r>
        <w:rPr>
          <w:rFonts w:ascii="Times New Roman" w:hAnsi="Times New Roman"/>
          <w:color w:val="222222"/>
          <w:sz w:val="24"/>
          <w:szCs w:val="24"/>
          <w:shd w:val="clear" w:color="auto" w:fill="FFFFFF"/>
        </w:rPr>
        <w:t xml:space="preserve"> </w:t>
      </w:r>
      <w:r w:rsidRPr="00545D5E">
        <w:rPr>
          <w:rFonts w:ascii="Times New Roman" w:hAnsi="Times New Roman"/>
          <w:color w:val="222222"/>
          <w:sz w:val="24"/>
          <w:szCs w:val="24"/>
          <w:shd w:val="clear" w:color="auto" w:fill="FFFFFF"/>
        </w:rPr>
        <w:t>mammals, which is defined as "to harass, hunt, capture or kill, or attempt to ha</w:t>
      </w:r>
      <w:r>
        <w:rPr>
          <w:rFonts w:ascii="Times New Roman" w:hAnsi="Times New Roman"/>
          <w:color w:val="222222"/>
          <w:sz w:val="24"/>
          <w:szCs w:val="24"/>
          <w:shd w:val="clear" w:color="auto" w:fill="FFFFFF"/>
        </w:rPr>
        <w:t xml:space="preserve">rass, hunt, capture or kill any </w:t>
      </w:r>
      <w:r w:rsidRPr="00545D5E">
        <w:rPr>
          <w:rStyle w:val="il"/>
          <w:rFonts w:ascii="Times New Roman" w:hAnsi="Times New Roman"/>
          <w:color w:val="222222"/>
          <w:sz w:val="24"/>
          <w:szCs w:val="24"/>
          <w:shd w:val="clear" w:color="auto" w:fill="FFFFFF"/>
        </w:rPr>
        <w:t>marine</w:t>
      </w:r>
      <w:r>
        <w:rPr>
          <w:rFonts w:ascii="Times New Roman" w:hAnsi="Times New Roman"/>
          <w:color w:val="222222"/>
          <w:sz w:val="24"/>
          <w:szCs w:val="24"/>
          <w:shd w:val="clear" w:color="auto" w:fill="FFFFFF"/>
        </w:rPr>
        <w:t xml:space="preserve"> </w:t>
      </w:r>
      <w:r w:rsidRPr="00545D5E">
        <w:rPr>
          <w:rFonts w:ascii="Times New Roman" w:hAnsi="Times New Roman"/>
          <w:color w:val="222222"/>
          <w:sz w:val="24"/>
          <w:szCs w:val="24"/>
          <w:shd w:val="clear" w:color="auto" w:fill="FFFFFF"/>
        </w:rPr>
        <w:t>mammal." The term "harassment" is further defined as "any act of pursuit, torment or annoyance which has the potential to injure a</w:t>
      </w:r>
      <w:r>
        <w:rPr>
          <w:rFonts w:ascii="Times New Roman" w:hAnsi="Times New Roman"/>
          <w:color w:val="222222"/>
          <w:sz w:val="24"/>
          <w:szCs w:val="24"/>
          <w:shd w:val="clear" w:color="auto" w:fill="FFFFFF"/>
        </w:rPr>
        <w:t xml:space="preserve"> </w:t>
      </w:r>
      <w:r w:rsidRPr="00545D5E">
        <w:rPr>
          <w:rStyle w:val="il"/>
          <w:rFonts w:ascii="Times New Roman" w:hAnsi="Times New Roman"/>
          <w:color w:val="222222"/>
          <w:sz w:val="24"/>
          <w:szCs w:val="24"/>
          <w:shd w:val="clear" w:color="auto" w:fill="FFFFFF"/>
        </w:rPr>
        <w:t>marine</w:t>
      </w:r>
      <w:r>
        <w:rPr>
          <w:rFonts w:ascii="Times New Roman" w:hAnsi="Times New Roman"/>
          <w:color w:val="222222"/>
          <w:sz w:val="24"/>
          <w:szCs w:val="24"/>
          <w:shd w:val="clear" w:color="auto" w:fill="FFFFFF"/>
        </w:rPr>
        <w:t xml:space="preserve"> mammal or </w:t>
      </w:r>
      <w:r w:rsidRPr="00545D5E">
        <w:rPr>
          <w:rStyle w:val="il"/>
          <w:rFonts w:ascii="Times New Roman" w:hAnsi="Times New Roman"/>
          <w:color w:val="222222"/>
          <w:sz w:val="24"/>
          <w:szCs w:val="24"/>
          <w:shd w:val="clear" w:color="auto" w:fill="FFFFFF"/>
        </w:rPr>
        <w:t>marine</w:t>
      </w:r>
      <w:r>
        <w:rPr>
          <w:rFonts w:ascii="Times New Roman" w:hAnsi="Times New Roman"/>
          <w:color w:val="222222"/>
          <w:sz w:val="24"/>
          <w:szCs w:val="24"/>
          <w:shd w:val="clear" w:color="auto" w:fill="FFFFFF"/>
        </w:rPr>
        <w:t xml:space="preserve"> </w:t>
      </w:r>
      <w:r w:rsidRPr="00545D5E">
        <w:rPr>
          <w:rFonts w:ascii="Times New Roman" w:hAnsi="Times New Roman"/>
          <w:color w:val="222222"/>
          <w:sz w:val="24"/>
          <w:szCs w:val="24"/>
          <w:shd w:val="clear" w:color="auto" w:fill="FFFFFF"/>
        </w:rPr>
        <w:t>mammal stock in the wild or has the potential to disturb a</w:t>
      </w:r>
      <w:r>
        <w:rPr>
          <w:rFonts w:ascii="Times New Roman" w:hAnsi="Times New Roman"/>
          <w:color w:val="222222"/>
          <w:sz w:val="24"/>
          <w:szCs w:val="24"/>
          <w:shd w:val="clear" w:color="auto" w:fill="FFFFFF"/>
        </w:rPr>
        <w:t xml:space="preserve"> </w:t>
      </w:r>
      <w:r w:rsidRPr="00545D5E">
        <w:rPr>
          <w:rStyle w:val="il"/>
          <w:rFonts w:ascii="Times New Roman" w:hAnsi="Times New Roman"/>
          <w:color w:val="222222"/>
          <w:sz w:val="24"/>
          <w:szCs w:val="24"/>
          <w:shd w:val="clear" w:color="auto" w:fill="FFFFFF"/>
        </w:rPr>
        <w:t>marine</w:t>
      </w:r>
      <w:r>
        <w:rPr>
          <w:rFonts w:ascii="Times New Roman" w:hAnsi="Times New Roman"/>
          <w:color w:val="222222"/>
          <w:sz w:val="24"/>
          <w:szCs w:val="24"/>
          <w:shd w:val="clear" w:color="auto" w:fill="FFFFFF"/>
        </w:rPr>
        <w:t xml:space="preserve"> mammal or </w:t>
      </w:r>
      <w:r w:rsidRPr="00545D5E">
        <w:rPr>
          <w:rStyle w:val="il"/>
          <w:rFonts w:ascii="Times New Roman" w:hAnsi="Times New Roman"/>
          <w:color w:val="222222"/>
          <w:sz w:val="24"/>
          <w:szCs w:val="24"/>
          <w:shd w:val="clear" w:color="auto" w:fill="FFFFFF"/>
        </w:rPr>
        <w:t>marine</w:t>
      </w:r>
      <w:r>
        <w:rPr>
          <w:rFonts w:ascii="Times New Roman" w:hAnsi="Times New Roman"/>
          <w:color w:val="222222"/>
          <w:sz w:val="24"/>
          <w:szCs w:val="24"/>
          <w:shd w:val="clear" w:color="auto" w:fill="FFFFFF"/>
        </w:rPr>
        <w:t xml:space="preserve"> </w:t>
      </w:r>
      <w:r w:rsidRPr="00545D5E">
        <w:rPr>
          <w:rFonts w:ascii="Times New Roman" w:hAnsi="Times New Roman"/>
          <w:color w:val="222222"/>
          <w:sz w:val="24"/>
          <w:szCs w:val="24"/>
          <w:shd w:val="clear" w:color="auto" w:fill="FFFFFF"/>
        </w:rPr>
        <w:t>mammal stock in the wild by causing disruption of behavioral patterns, including, but not limited to, migration, breathing, nursing, breeding, feeding, or sheltering."</w:t>
      </w:r>
      <w:r w:rsidR="005C7D33" w:rsidRPr="005C7D33">
        <w:rPr>
          <w:rFonts w:ascii="Times New Roman" w:eastAsia="Times New Roman" w:hAnsi="Times New Roman"/>
          <w:color w:val="222222"/>
          <w:sz w:val="24"/>
          <w:szCs w:val="24"/>
        </w:rPr>
        <w:br/>
      </w:r>
    </w:p>
    <w:p w14:paraId="288EECC6" w14:textId="1E931EE5" w:rsidR="009452F6" w:rsidRDefault="009452F6" w:rsidP="005C7D33">
      <w:pPr>
        <w:shd w:val="clear" w:color="auto" w:fill="FFFFFF"/>
        <w:spacing w:after="0" w:line="240" w:lineRule="auto"/>
        <w:rPr>
          <w:rFonts w:ascii="Times New Roman" w:hAnsi="Times New Roman"/>
          <w:bCs/>
          <w:iCs/>
          <w:color w:val="000000"/>
          <w:sz w:val="24"/>
          <w:szCs w:val="24"/>
        </w:rPr>
      </w:pPr>
      <w:r w:rsidRPr="009452F6">
        <w:rPr>
          <w:rFonts w:ascii="Times New Roman" w:hAnsi="Times New Roman"/>
          <w:b/>
          <w:bCs/>
          <w:iCs/>
          <w:color w:val="000000"/>
          <w:sz w:val="24"/>
          <w:szCs w:val="24"/>
        </w:rPr>
        <w:t>Aleutian Islands Habitat Conservation Area:</w:t>
      </w:r>
      <w:r w:rsidRPr="009452F6">
        <w:rPr>
          <w:rFonts w:ascii="Times New Roman" w:hAnsi="Times New Roman"/>
          <w:bCs/>
          <w:iCs/>
          <w:color w:val="000000"/>
          <w:sz w:val="24"/>
          <w:szCs w:val="24"/>
        </w:rPr>
        <w:t xml:space="preserve"> On July 28, 2006, NOAA formally established the Aleutian Islands Habitat Conservation</w:t>
      </w:r>
      <w:r>
        <w:rPr>
          <w:rFonts w:ascii="Times New Roman" w:hAnsi="Times New Roman"/>
          <w:bCs/>
          <w:iCs/>
          <w:color w:val="000000"/>
          <w:sz w:val="24"/>
          <w:szCs w:val="24"/>
        </w:rPr>
        <w:t xml:space="preserve"> </w:t>
      </w:r>
      <w:r w:rsidRPr="009452F6">
        <w:rPr>
          <w:rFonts w:ascii="Times New Roman" w:hAnsi="Times New Roman"/>
          <w:bCs/>
          <w:iCs/>
          <w:color w:val="000000"/>
          <w:sz w:val="24"/>
          <w:szCs w:val="24"/>
        </w:rPr>
        <w:t xml:space="preserve">Area in Alaska, </w:t>
      </w:r>
      <w:r w:rsidRPr="000F5388">
        <w:rPr>
          <w:rFonts w:ascii="Times New Roman" w:hAnsi="Times New Roman"/>
          <w:bCs/>
          <w:iCs/>
          <w:color w:val="000000"/>
          <w:sz w:val="24"/>
          <w:szCs w:val="24"/>
        </w:rPr>
        <w:t>which covers nearly 370</w:t>
      </w:r>
      <w:r w:rsidR="00545D5E">
        <w:rPr>
          <w:rFonts w:ascii="Times New Roman" w:hAnsi="Times New Roman"/>
          <w:bCs/>
          <w:iCs/>
          <w:color w:val="000000"/>
          <w:sz w:val="24"/>
          <w:szCs w:val="24"/>
        </w:rPr>
        <w:t xml:space="preserve"> thousand </w:t>
      </w:r>
      <w:r w:rsidRPr="000F5388">
        <w:rPr>
          <w:rFonts w:ascii="Times New Roman" w:hAnsi="Times New Roman"/>
          <w:bCs/>
          <w:iCs/>
          <w:color w:val="000000"/>
          <w:sz w:val="24"/>
          <w:szCs w:val="24"/>
        </w:rPr>
        <w:t>square miles and may harbor among the highest diversity of</w:t>
      </w:r>
      <w:r w:rsidRPr="009452F6">
        <w:rPr>
          <w:rFonts w:ascii="Times New Roman" w:hAnsi="Times New Roman"/>
          <w:bCs/>
          <w:iCs/>
          <w:color w:val="000000"/>
          <w:sz w:val="24"/>
          <w:szCs w:val="24"/>
        </w:rPr>
        <w:t xml:space="preserve"> deep-water corals</w:t>
      </w:r>
      <w:r>
        <w:rPr>
          <w:rFonts w:ascii="Times New Roman" w:hAnsi="Times New Roman"/>
          <w:bCs/>
          <w:iCs/>
          <w:color w:val="000000"/>
          <w:sz w:val="24"/>
          <w:szCs w:val="24"/>
        </w:rPr>
        <w:t xml:space="preserve"> </w:t>
      </w:r>
      <w:r w:rsidRPr="009452F6">
        <w:rPr>
          <w:rFonts w:ascii="Times New Roman" w:hAnsi="Times New Roman"/>
          <w:bCs/>
          <w:iCs/>
          <w:color w:val="000000"/>
          <w:sz w:val="24"/>
          <w:szCs w:val="24"/>
        </w:rPr>
        <w:t>in the world. The conservation area established a network of fishing closures in the Aleutian Islands and Gulf of Alaska, and</w:t>
      </w:r>
      <w:r>
        <w:rPr>
          <w:rFonts w:ascii="Times New Roman" w:hAnsi="Times New Roman"/>
          <w:bCs/>
          <w:iCs/>
          <w:color w:val="000000"/>
          <w:sz w:val="24"/>
          <w:szCs w:val="24"/>
        </w:rPr>
        <w:t xml:space="preserve"> </w:t>
      </w:r>
      <w:r w:rsidRPr="009452F6">
        <w:rPr>
          <w:rFonts w:ascii="Times New Roman" w:hAnsi="Times New Roman"/>
          <w:bCs/>
          <w:iCs/>
          <w:color w:val="000000"/>
          <w:sz w:val="24"/>
          <w:szCs w:val="24"/>
        </w:rPr>
        <w:t>protects habitat for deep-water corals and other sensitive features that are slow to recover once disturbed by fishing gear or other</w:t>
      </w:r>
      <w:r>
        <w:rPr>
          <w:rFonts w:ascii="Times New Roman" w:hAnsi="Times New Roman"/>
          <w:bCs/>
          <w:iCs/>
          <w:color w:val="000000"/>
          <w:sz w:val="24"/>
          <w:szCs w:val="24"/>
        </w:rPr>
        <w:t xml:space="preserve"> </w:t>
      </w:r>
      <w:r w:rsidRPr="009452F6">
        <w:rPr>
          <w:rFonts w:ascii="Times New Roman" w:hAnsi="Times New Roman"/>
          <w:bCs/>
          <w:iCs/>
          <w:color w:val="000000"/>
          <w:sz w:val="24"/>
          <w:szCs w:val="24"/>
        </w:rPr>
        <w:t>activities</w:t>
      </w:r>
      <w:r w:rsidRPr="00545D5E">
        <w:rPr>
          <w:rFonts w:ascii="Times New Roman" w:hAnsi="Times New Roman"/>
          <w:bCs/>
          <w:iCs/>
          <w:color w:val="000000"/>
          <w:sz w:val="24"/>
          <w:szCs w:val="24"/>
        </w:rPr>
        <w:t xml:space="preserve">. </w:t>
      </w:r>
      <w:r w:rsidR="00545D5E" w:rsidRPr="00545D5E">
        <w:rPr>
          <w:rFonts w:ascii="Times New Roman" w:hAnsi="Times New Roman"/>
          <w:color w:val="222222"/>
          <w:sz w:val="24"/>
          <w:szCs w:val="24"/>
          <w:shd w:val="clear" w:color="auto" w:fill="FFFFFF"/>
        </w:rPr>
        <w:t xml:space="preserve">To minimize the effects of fishing on </w:t>
      </w:r>
      <w:r w:rsidR="00545D5E">
        <w:rPr>
          <w:rFonts w:ascii="Times New Roman" w:hAnsi="Times New Roman"/>
          <w:color w:val="222222"/>
          <w:sz w:val="24"/>
          <w:szCs w:val="24"/>
          <w:shd w:val="clear" w:color="auto" w:fill="FFFFFF"/>
        </w:rPr>
        <w:t>Essential Fish Habitat</w:t>
      </w:r>
      <w:r w:rsidR="00545D5E" w:rsidRPr="00545D5E">
        <w:rPr>
          <w:rFonts w:ascii="Times New Roman" w:hAnsi="Times New Roman"/>
          <w:color w:val="222222"/>
          <w:sz w:val="24"/>
          <w:szCs w:val="24"/>
          <w:shd w:val="clear" w:color="auto" w:fill="FFFFFF"/>
        </w:rPr>
        <w:t xml:space="preserve">, and more specifically to address concerns about the impacts of bottom </w:t>
      </w:r>
      <w:r w:rsidR="00545D5E" w:rsidRPr="00545D5E">
        <w:rPr>
          <w:rFonts w:ascii="Times New Roman" w:hAnsi="Times New Roman"/>
          <w:color w:val="222222"/>
          <w:sz w:val="24"/>
          <w:szCs w:val="24"/>
          <w:shd w:val="clear" w:color="auto" w:fill="FFFFFF"/>
        </w:rPr>
        <w:lastRenderedPageBreak/>
        <w:t>trawling on benthic habitat (particularly on coral communities) in the Aleutian Islands, the North Pacific Fishery Management Council took action to prohibit all bottom trawling in the Aleutians, except in small discrete “open” areas. Over 95% of the management area is closed to bottom trawling. Additionally, six Habitat Conservation Zones with especially high density coral and sponge habitat were closed to all bottom-contact fishing gear (longlines, pots, trawls). To improve monitoring and enforcement of the Aleutian Island closures, a vessel monitoring system is required for all fishing vessels in the Aleutian management area.  NMFS implements this </w:t>
      </w:r>
      <w:r w:rsidR="00545D5E" w:rsidRPr="00545D5E">
        <w:rPr>
          <w:rFonts w:ascii="Times New Roman" w:hAnsi="Times New Roman"/>
          <w:bCs/>
          <w:color w:val="222222"/>
          <w:sz w:val="24"/>
          <w:szCs w:val="24"/>
          <w:shd w:val="clear" w:color="auto" w:fill="FFFFFF"/>
        </w:rPr>
        <w:t>closure </w:t>
      </w:r>
      <w:r w:rsidR="00545D5E" w:rsidRPr="00545D5E">
        <w:rPr>
          <w:rFonts w:ascii="Times New Roman" w:hAnsi="Times New Roman"/>
          <w:color w:val="222222"/>
          <w:sz w:val="24"/>
          <w:szCs w:val="24"/>
          <w:shd w:val="clear" w:color="auto" w:fill="FFFFFF"/>
        </w:rPr>
        <w:t xml:space="preserve">area through the Fishery Management Plan for </w:t>
      </w:r>
      <w:proofErr w:type="spellStart"/>
      <w:r w:rsidR="00545D5E" w:rsidRPr="00545D5E">
        <w:rPr>
          <w:rFonts w:ascii="Times New Roman" w:hAnsi="Times New Roman"/>
          <w:color w:val="222222"/>
          <w:sz w:val="24"/>
          <w:szCs w:val="24"/>
          <w:shd w:val="clear" w:color="auto" w:fill="FFFFFF"/>
        </w:rPr>
        <w:t>Groundfish</w:t>
      </w:r>
      <w:proofErr w:type="spellEnd"/>
      <w:r w:rsidR="00545D5E" w:rsidRPr="00545D5E">
        <w:rPr>
          <w:rFonts w:ascii="Times New Roman" w:hAnsi="Times New Roman"/>
          <w:color w:val="222222"/>
          <w:sz w:val="24"/>
          <w:szCs w:val="24"/>
          <w:shd w:val="clear" w:color="auto" w:fill="FFFFFF"/>
        </w:rPr>
        <w:t xml:space="preserve"> of the Bering Sea and Aleutian Islands Management Area and in Federal regulations at 50 USC 679.22(a)(14)</w:t>
      </w:r>
      <w:r w:rsidR="00545D5E">
        <w:rPr>
          <w:rFonts w:ascii="Times New Roman" w:hAnsi="Times New Roman"/>
          <w:color w:val="222222"/>
          <w:sz w:val="24"/>
          <w:szCs w:val="24"/>
          <w:shd w:val="clear" w:color="auto" w:fill="FFFFFF"/>
        </w:rPr>
        <w:t xml:space="preserve">, </w:t>
      </w:r>
      <w:r w:rsidR="00545D5E">
        <w:rPr>
          <w:rFonts w:ascii="Times New Roman" w:hAnsi="Times New Roman"/>
          <w:i/>
          <w:color w:val="222222"/>
          <w:sz w:val="24"/>
          <w:szCs w:val="24"/>
          <w:shd w:val="clear" w:color="auto" w:fill="FFFFFF"/>
        </w:rPr>
        <w:t>Aleutian Islands Habitat Conservation Area</w:t>
      </w:r>
      <w:r w:rsidR="00545D5E" w:rsidRPr="00545D5E">
        <w:rPr>
          <w:rFonts w:ascii="Times New Roman" w:hAnsi="Times New Roman"/>
          <w:color w:val="222222"/>
          <w:sz w:val="24"/>
          <w:szCs w:val="24"/>
          <w:shd w:val="clear" w:color="auto" w:fill="FFFFFF"/>
        </w:rPr>
        <w:t>.   </w:t>
      </w:r>
    </w:p>
    <w:p w14:paraId="5B1FFCE6" w14:textId="77777777" w:rsidR="001444C7" w:rsidRPr="003D7191" w:rsidRDefault="001444C7" w:rsidP="009452F6">
      <w:pPr>
        <w:autoSpaceDE w:val="0"/>
        <w:autoSpaceDN w:val="0"/>
        <w:adjustRightInd w:val="0"/>
        <w:spacing w:after="0" w:line="240" w:lineRule="auto"/>
        <w:rPr>
          <w:rFonts w:ascii="Times New Roman" w:hAnsi="Times New Roman"/>
          <w:bCs/>
          <w:iCs/>
          <w:color w:val="000000"/>
          <w:sz w:val="24"/>
          <w:szCs w:val="24"/>
        </w:rPr>
      </w:pPr>
    </w:p>
    <w:p w14:paraId="2F9632C1" w14:textId="040E0E8D" w:rsidR="00545D5E" w:rsidRPr="003D7191" w:rsidRDefault="009452F6" w:rsidP="00545D5E">
      <w:pPr>
        <w:autoSpaceDE w:val="0"/>
        <w:autoSpaceDN w:val="0"/>
        <w:adjustRightInd w:val="0"/>
        <w:spacing w:after="0" w:line="240" w:lineRule="auto"/>
        <w:rPr>
          <w:rFonts w:ascii="Times New Roman" w:hAnsi="Times New Roman"/>
          <w:bCs/>
          <w:iCs/>
          <w:color w:val="000000"/>
          <w:sz w:val="24"/>
          <w:szCs w:val="24"/>
        </w:rPr>
      </w:pPr>
      <w:r w:rsidRPr="003D7191">
        <w:rPr>
          <w:rFonts w:ascii="Times New Roman" w:hAnsi="Times New Roman"/>
          <w:b/>
          <w:bCs/>
          <w:iCs/>
          <w:color w:val="000000"/>
          <w:sz w:val="24"/>
          <w:szCs w:val="24"/>
        </w:rPr>
        <w:t>NOAA Habitat Blueprint:</w:t>
      </w:r>
      <w:r w:rsidRPr="003D7191">
        <w:rPr>
          <w:rFonts w:ascii="Times New Roman" w:hAnsi="Times New Roman"/>
          <w:bCs/>
          <w:iCs/>
          <w:color w:val="000000"/>
          <w:sz w:val="24"/>
          <w:szCs w:val="24"/>
        </w:rPr>
        <w:t xml:space="preserve"> </w:t>
      </w:r>
      <w:r w:rsidR="00545D5E" w:rsidRPr="003D7191">
        <w:rPr>
          <w:rFonts w:ascii="Times New Roman" w:hAnsi="Times New Roman"/>
          <w:bCs/>
          <w:iCs/>
          <w:color w:val="000000"/>
          <w:sz w:val="24"/>
          <w:szCs w:val="24"/>
        </w:rPr>
        <w:t>NOAA has a responsibility for protecting habitat for fish, threatened and endangered species, marine mammals, and other natural resources within the coastal zone.  Recognizing the need for more concerted efforts to conserve, protect, and restore habitat, NOAA developed the NOAA Habitat Blueprint to build on existing programs, prioritize its activities, and guide its future actions. This is being accomplished by creating Habitat Focus Areas.  There are currently 10 Habitat Focus Areas, as follows:</w:t>
      </w:r>
    </w:p>
    <w:p w14:paraId="4BF91087" w14:textId="6B7656EA" w:rsidR="00545D5E" w:rsidRPr="003D7191" w:rsidRDefault="00545D5E" w:rsidP="009452F6">
      <w:pPr>
        <w:autoSpaceDE w:val="0"/>
        <w:autoSpaceDN w:val="0"/>
        <w:adjustRightInd w:val="0"/>
        <w:spacing w:after="0" w:line="240" w:lineRule="auto"/>
        <w:rPr>
          <w:rFonts w:ascii="Times New Roman" w:hAnsi="Times New Roman"/>
          <w:bCs/>
          <w:iCs/>
          <w:color w:val="000000"/>
          <w:sz w:val="24"/>
          <w:szCs w:val="24"/>
        </w:rPr>
      </w:pPr>
    </w:p>
    <w:p w14:paraId="568EDC3B" w14:textId="77777777" w:rsidR="006A74BE" w:rsidRPr="00FB56B8" w:rsidRDefault="006A74BE" w:rsidP="00545D5E">
      <w:pPr>
        <w:pStyle w:val="ListParagraph"/>
        <w:numPr>
          <w:ilvl w:val="0"/>
          <w:numId w:val="26"/>
        </w:numPr>
        <w:autoSpaceDE w:val="0"/>
        <w:autoSpaceDN w:val="0"/>
        <w:adjustRightInd w:val="0"/>
        <w:spacing w:after="0" w:line="240" w:lineRule="auto"/>
        <w:rPr>
          <w:rFonts w:ascii="Times New Roman" w:hAnsi="Times New Roman"/>
          <w:bCs/>
          <w:iCs/>
          <w:color w:val="000000"/>
          <w:sz w:val="24"/>
          <w:szCs w:val="24"/>
        </w:rPr>
        <w:sectPr w:rsidR="006A74BE" w:rsidRPr="00FB56B8">
          <w:headerReference w:type="default" r:id="rId8"/>
          <w:footerReference w:type="default" r:id="rId9"/>
          <w:pgSz w:w="12240" w:h="15840"/>
          <w:pgMar w:top="1440" w:right="1440" w:bottom="1440" w:left="1440" w:header="720" w:footer="720" w:gutter="0"/>
          <w:cols w:space="720"/>
          <w:docGrid w:linePitch="360"/>
        </w:sectPr>
      </w:pPr>
    </w:p>
    <w:p w14:paraId="38955392" w14:textId="5815C762" w:rsidR="00545D5E" w:rsidRPr="008646F0" w:rsidRDefault="00545D5E" w:rsidP="00545D5E">
      <w:pPr>
        <w:pStyle w:val="ListParagraph"/>
        <w:numPr>
          <w:ilvl w:val="0"/>
          <w:numId w:val="26"/>
        </w:numPr>
        <w:autoSpaceDE w:val="0"/>
        <w:autoSpaceDN w:val="0"/>
        <w:adjustRightInd w:val="0"/>
        <w:spacing w:after="0" w:line="240" w:lineRule="auto"/>
        <w:rPr>
          <w:rFonts w:ascii="Times New Roman" w:hAnsi="Times New Roman"/>
          <w:bCs/>
          <w:iCs/>
          <w:color w:val="000000"/>
          <w:sz w:val="24"/>
          <w:szCs w:val="24"/>
          <w:highlight w:val="red"/>
        </w:rPr>
      </w:pPr>
      <w:r w:rsidRPr="008646F0">
        <w:rPr>
          <w:rFonts w:ascii="Times New Roman" w:hAnsi="Times New Roman"/>
          <w:bCs/>
          <w:iCs/>
          <w:color w:val="000000"/>
          <w:sz w:val="24"/>
          <w:szCs w:val="24"/>
          <w:highlight w:val="red"/>
        </w:rPr>
        <w:t>Biscayne Bay, FL</w:t>
      </w:r>
    </w:p>
    <w:p w14:paraId="202461DC" w14:textId="74D67417" w:rsidR="00545D5E" w:rsidRPr="008646F0" w:rsidRDefault="00545D5E" w:rsidP="00545D5E">
      <w:pPr>
        <w:pStyle w:val="ListParagraph"/>
        <w:numPr>
          <w:ilvl w:val="0"/>
          <w:numId w:val="26"/>
        </w:numPr>
        <w:autoSpaceDE w:val="0"/>
        <w:autoSpaceDN w:val="0"/>
        <w:adjustRightInd w:val="0"/>
        <w:spacing w:after="0" w:line="240" w:lineRule="auto"/>
        <w:rPr>
          <w:rFonts w:ascii="Times New Roman" w:hAnsi="Times New Roman"/>
          <w:bCs/>
          <w:iCs/>
          <w:color w:val="000000"/>
          <w:sz w:val="24"/>
          <w:szCs w:val="24"/>
          <w:highlight w:val="red"/>
        </w:rPr>
      </w:pPr>
      <w:proofErr w:type="spellStart"/>
      <w:r w:rsidRPr="008646F0">
        <w:rPr>
          <w:rFonts w:ascii="Times New Roman" w:hAnsi="Times New Roman"/>
          <w:bCs/>
          <w:iCs/>
          <w:color w:val="000000"/>
          <w:sz w:val="24"/>
          <w:szCs w:val="24"/>
          <w:highlight w:val="red"/>
        </w:rPr>
        <w:t>Choptank</w:t>
      </w:r>
      <w:proofErr w:type="spellEnd"/>
      <w:r w:rsidRPr="008646F0">
        <w:rPr>
          <w:rFonts w:ascii="Times New Roman" w:hAnsi="Times New Roman"/>
          <w:bCs/>
          <w:iCs/>
          <w:color w:val="000000"/>
          <w:sz w:val="24"/>
          <w:szCs w:val="24"/>
          <w:highlight w:val="red"/>
        </w:rPr>
        <w:t xml:space="preserve"> River Watershed, MD/DE</w:t>
      </w:r>
    </w:p>
    <w:p w14:paraId="321DFE4F" w14:textId="77777777" w:rsidR="00545D5E" w:rsidRPr="008646F0" w:rsidRDefault="00545D5E" w:rsidP="00545D5E">
      <w:pPr>
        <w:pStyle w:val="ListParagraph"/>
        <w:numPr>
          <w:ilvl w:val="0"/>
          <w:numId w:val="26"/>
        </w:numPr>
        <w:autoSpaceDE w:val="0"/>
        <w:autoSpaceDN w:val="0"/>
        <w:adjustRightInd w:val="0"/>
        <w:spacing w:after="0" w:line="240" w:lineRule="auto"/>
        <w:rPr>
          <w:rFonts w:ascii="Times New Roman" w:hAnsi="Times New Roman"/>
          <w:bCs/>
          <w:iCs/>
          <w:color w:val="000000"/>
          <w:sz w:val="24"/>
          <w:szCs w:val="24"/>
          <w:highlight w:val="red"/>
        </w:rPr>
      </w:pPr>
      <w:proofErr w:type="spellStart"/>
      <w:r w:rsidRPr="008646F0">
        <w:rPr>
          <w:rFonts w:ascii="Times New Roman" w:hAnsi="Times New Roman"/>
          <w:bCs/>
          <w:iCs/>
          <w:color w:val="000000"/>
          <w:sz w:val="24"/>
          <w:szCs w:val="24"/>
          <w:highlight w:val="red"/>
        </w:rPr>
        <w:t>Kachemak</w:t>
      </w:r>
      <w:proofErr w:type="spellEnd"/>
      <w:r w:rsidRPr="008646F0">
        <w:rPr>
          <w:rFonts w:ascii="Times New Roman" w:hAnsi="Times New Roman"/>
          <w:bCs/>
          <w:iCs/>
          <w:color w:val="000000"/>
          <w:sz w:val="24"/>
          <w:szCs w:val="24"/>
          <w:highlight w:val="red"/>
        </w:rPr>
        <w:t xml:space="preserve"> Bay, AK</w:t>
      </w:r>
    </w:p>
    <w:p w14:paraId="63718AD7" w14:textId="77777777" w:rsidR="00545D5E" w:rsidRPr="008646F0" w:rsidRDefault="00545D5E" w:rsidP="00545D5E">
      <w:pPr>
        <w:pStyle w:val="ListParagraph"/>
        <w:numPr>
          <w:ilvl w:val="0"/>
          <w:numId w:val="26"/>
        </w:numPr>
        <w:autoSpaceDE w:val="0"/>
        <w:autoSpaceDN w:val="0"/>
        <w:adjustRightInd w:val="0"/>
        <w:spacing w:after="0" w:line="240" w:lineRule="auto"/>
        <w:rPr>
          <w:rFonts w:ascii="Times New Roman" w:hAnsi="Times New Roman"/>
          <w:bCs/>
          <w:iCs/>
          <w:color w:val="000000"/>
          <w:sz w:val="24"/>
          <w:szCs w:val="24"/>
          <w:highlight w:val="red"/>
        </w:rPr>
      </w:pPr>
      <w:proofErr w:type="spellStart"/>
      <w:r w:rsidRPr="008646F0">
        <w:rPr>
          <w:rFonts w:ascii="Times New Roman" w:hAnsi="Times New Roman"/>
          <w:bCs/>
          <w:iCs/>
          <w:color w:val="000000"/>
          <w:sz w:val="24"/>
          <w:szCs w:val="24"/>
          <w:highlight w:val="red"/>
        </w:rPr>
        <w:t>Manell-GeusWatershed</w:t>
      </w:r>
      <w:proofErr w:type="spellEnd"/>
      <w:r w:rsidRPr="008646F0">
        <w:rPr>
          <w:rFonts w:ascii="Times New Roman" w:hAnsi="Times New Roman"/>
          <w:bCs/>
          <w:iCs/>
          <w:color w:val="000000"/>
          <w:sz w:val="24"/>
          <w:szCs w:val="24"/>
          <w:highlight w:val="red"/>
        </w:rPr>
        <w:t>, GU</w:t>
      </w:r>
    </w:p>
    <w:p w14:paraId="2ECAE69A" w14:textId="46CB6F0D" w:rsidR="00545D5E" w:rsidRPr="008646F0" w:rsidRDefault="00545D5E" w:rsidP="00545D5E">
      <w:pPr>
        <w:pStyle w:val="ListParagraph"/>
        <w:numPr>
          <w:ilvl w:val="0"/>
          <w:numId w:val="26"/>
        </w:numPr>
        <w:autoSpaceDE w:val="0"/>
        <w:autoSpaceDN w:val="0"/>
        <w:adjustRightInd w:val="0"/>
        <w:spacing w:after="0" w:line="240" w:lineRule="auto"/>
        <w:rPr>
          <w:rFonts w:ascii="Times New Roman" w:hAnsi="Times New Roman"/>
          <w:bCs/>
          <w:iCs/>
          <w:color w:val="000000"/>
          <w:sz w:val="24"/>
          <w:szCs w:val="24"/>
          <w:highlight w:val="red"/>
        </w:rPr>
      </w:pPr>
      <w:r w:rsidRPr="008646F0">
        <w:rPr>
          <w:rFonts w:ascii="Times New Roman" w:hAnsi="Times New Roman"/>
          <w:bCs/>
          <w:iCs/>
          <w:color w:val="000000"/>
          <w:sz w:val="24"/>
          <w:szCs w:val="24"/>
          <w:highlight w:val="red"/>
        </w:rPr>
        <w:t>Muskegon Lake, MI</w:t>
      </w:r>
    </w:p>
    <w:p w14:paraId="72AB638A" w14:textId="77777777" w:rsidR="006A74BE" w:rsidRPr="008646F0" w:rsidRDefault="006A74BE" w:rsidP="00D81D89">
      <w:pPr>
        <w:pStyle w:val="ListParagraph"/>
        <w:numPr>
          <w:ilvl w:val="0"/>
          <w:numId w:val="26"/>
        </w:numPr>
        <w:autoSpaceDE w:val="0"/>
        <w:autoSpaceDN w:val="0"/>
        <w:adjustRightInd w:val="0"/>
        <w:spacing w:after="0" w:line="240" w:lineRule="auto"/>
        <w:ind w:left="360"/>
        <w:rPr>
          <w:rFonts w:ascii="Times New Roman" w:hAnsi="Times New Roman"/>
          <w:bCs/>
          <w:iCs/>
          <w:color w:val="000000"/>
          <w:sz w:val="24"/>
          <w:szCs w:val="24"/>
          <w:highlight w:val="red"/>
        </w:rPr>
      </w:pPr>
      <w:r w:rsidRPr="008646F0">
        <w:rPr>
          <w:rFonts w:ascii="Times New Roman" w:hAnsi="Times New Roman"/>
          <w:bCs/>
          <w:iCs/>
          <w:color w:val="000000"/>
          <w:sz w:val="24"/>
          <w:szCs w:val="24"/>
          <w:highlight w:val="red"/>
        </w:rPr>
        <w:t>Northeast Reserves and Culebra Island, PR</w:t>
      </w:r>
    </w:p>
    <w:p w14:paraId="641CD84F" w14:textId="77777777" w:rsidR="00545D5E" w:rsidRPr="008646F0" w:rsidRDefault="00545D5E" w:rsidP="00D81D89">
      <w:pPr>
        <w:pStyle w:val="ListParagraph"/>
        <w:numPr>
          <w:ilvl w:val="0"/>
          <w:numId w:val="26"/>
        </w:numPr>
        <w:autoSpaceDE w:val="0"/>
        <w:autoSpaceDN w:val="0"/>
        <w:adjustRightInd w:val="0"/>
        <w:spacing w:after="0" w:line="240" w:lineRule="auto"/>
        <w:ind w:left="360"/>
        <w:rPr>
          <w:rFonts w:ascii="Times New Roman" w:hAnsi="Times New Roman"/>
          <w:bCs/>
          <w:iCs/>
          <w:color w:val="000000"/>
          <w:sz w:val="24"/>
          <w:szCs w:val="24"/>
          <w:highlight w:val="red"/>
        </w:rPr>
      </w:pPr>
      <w:r w:rsidRPr="008646F0">
        <w:rPr>
          <w:rFonts w:ascii="Times New Roman" w:hAnsi="Times New Roman"/>
          <w:bCs/>
          <w:iCs/>
          <w:color w:val="000000"/>
          <w:sz w:val="24"/>
          <w:szCs w:val="24"/>
          <w:highlight w:val="red"/>
        </w:rPr>
        <w:t>Penobscot River Watershed, ME</w:t>
      </w:r>
    </w:p>
    <w:p w14:paraId="15A4F9B0" w14:textId="77777777" w:rsidR="00545D5E" w:rsidRPr="008646F0" w:rsidRDefault="00545D5E" w:rsidP="00D81D89">
      <w:pPr>
        <w:pStyle w:val="ListParagraph"/>
        <w:numPr>
          <w:ilvl w:val="0"/>
          <w:numId w:val="26"/>
        </w:numPr>
        <w:autoSpaceDE w:val="0"/>
        <w:autoSpaceDN w:val="0"/>
        <w:adjustRightInd w:val="0"/>
        <w:spacing w:after="0" w:line="240" w:lineRule="auto"/>
        <w:ind w:left="360"/>
        <w:rPr>
          <w:rFonts w:ascii="Times New Roman" w:hAnsi="Times New Roman"/>
          <w:bCs/>
          <w:iCs/>
          <w:color w:val="000000"/>
          <w:sz w:val="24"/>
          <w:szCs w:val="24"/>
          <w:highlight w:val="red"/>
        </w:rPr>
      </w:pPr>
      <w:r w:rsidRPr="008646F0">
        <w:rPr>
          <w:rFonts w:ascii="Times New Roman" w:hAnsi="Times New Roman"/>
          <w:bCs/>
          <w:iCs/>
          <w:color w:val="000000"/>
          <w:sz w:val="24"/>
          <w:szCs w:val="24"/>
          <w:highlight w:val="red"/>
        </w:rPr>
        <w:t>Russian River Watershed, CA</w:t>
      </w:r>
    </w:p>
    <w:p w14:paraId="38FD65D5" w14:textId="4A715FAD" w:rsidR="00545D5E" w:rsidRPr="008646F0" w:rsidRDefault="00545D5E" w:rsidP="00D81D89">
      <w:pPr>
        <w:pStyle w:val="ListParagraph"/>
        <w:numPr>
          <w:ilvl w:val="0"/>
          <w:numId w:val="26"/>
        </w:numPr>
        <w:autoSpaceDE w:val="0"/>
        <w:autoSpaceDN w:val="0"/>
        <w:adjustRightInd w:val="0"/>
        <w:spacing w:after="0" w:line="240" w:lineRule="auto"/>
        <w:ind w:left="360"/>
        <w:rPr>
          <w:rFonts w:ascii="Times New Roman" w:hAnsi="Times New Roman"/>
          <w:bCs/>
          <w:iCs/>
          <w:color w:val="000000"/>
          <w:sz w:val="24"/>
          <w:szCs w:val="24"/>
          <w:highlight w:val="red"/>
        </w:rPr>
      </w:pPr>
      <w:r w:rsidRPr="008646F0">
        <w:rPr>
          <w:rFonts w:ascii="Times New Roman" w:hAnsi="Times New Roman"/>
          <w:bCs/>
          <w:iCs/>
          <w:color w:val="000000"/>
          <w:sz w:val="24"/>
          <w:szCs w:val="24"/>
          <w:highlight w:val="red"/>
        </w:rPr>
        <w:t>St. Louis River Estuary, MN/WI</w:t>
      </w:r>
    </w:p>
    <w:p w14:paraId="2828E31E" w14:textId="196A651A" w:rsidR="00545D5E" w:rsidRPr="008646F0" w:rsidRDefault="00545D5E" w:rsidP="00D81D89">
      <w:pPr>
        <w:pStyle w:val="ListParagraph"/>
        <w:numPr>
          <w:ilvl w:val="0"/>
          <w:numId w:val="26"/>
        </w:numPr>
        <w:autoSpaceDE w:val="0"/>
        <w:autoSpaceDN w:val="0"/>
        <w:adjustRightInd w:val="0"/>
        <w:spacing w:after="0" w:line="240" w:lineRule="auto"/>
        <w:ind w:left="360"/>
        <w:rPr>
          <w:rFonts w:ascii="Times New Roman" w:hAnsi="Times New Roman"/>
          <w:bCs/>
          <w:iCs/>
          <w:color w:val="000000"/>
          <w:sz w:val="24"/>
          <w:szCs w:val="24"/>
          <w:highlight w:val="red"/>
        </w:rPr>
      </w:pPr>
      <w:r w:rsidRPr="008646F0">
        <w:rPr>
          <w:rFonts w:ascii="Times New Roman" w:hAnsi="Times New Roman"/>
          <w:bCs/>
          <w:iCs/>
          <w:color w:val="000000"/>
          <w:sz w:val="24"/>
          <w:szCs w:val="24"/>
          <w:highlight w:val="red"/>
        </w:rPr>
        <w:t>West Hawaii, HI</w:t>
      </w:r>
    </w:p>
    <w:p w14:paraId="40BACB3A" w14:textId="77777777" w:rsidR="006A74BE" w:rsidRPr="003D7191" w:rsidRDefault="006A74BE" w:rsidP="009452F6">
      <w:pPr>
        <w:autoSpaceDE w:val="0"/>
        <w:autoSpaceDN w:val="0"/>
        <w:adjustRightInd w:val="0"/>
        <w:spacing w:after="0" w:line="240" w:lineRule="auto"/>
        <w:rPr>
          <w:rFonts w:ascii="Times New Roman" w:hAnsi="Times New Roman"/>
          <w:bCs/>
          <w:iCs/>
          <w:color w:val="000000"/>
          <w:sz w:val="24"/>
          <w:szCs w:val="24"/>
        </w:rPr>
        <w:sectPr w:rsidR="006A74BE" w:rsidRPr="003D7191" w:rsidSect="00D81D89">
          <w:type w:val="continuous"/>
          <w:pgSz w:w="12240" w:h="15840"/>
          <w:pgMar w:top="1440" w:right="1440" w:bottom="1440" w:left="1440" w:header="720" w:footer="720" w:gutter="0"/>
          <w:cols w:num="2" w:space="180"/>
          <w:docGrid w:linePitch="360"/>
        </w:sectPr>
      </w:pPr>
    </w:p>
    <w:p w14:paraId="48F32E66" w14:textId="41A3B746" w:rsidR="00545D5E" w:rsidRPr="003D7191" w:rsidRDefault="00545D5E" w:rsidP="009452F6">
      <w:pPr>
        <w:autoSpaceDE w:val="0"/>
        <w:autoSpaceDN w:val="0"/>
        <w:adjustRightInd w:val="0"/>
        <w:spacing w:after="0" w:line="240" w:lineRule="auto"/>
        <w:rPr>
          <w:rFonts w:ascii="Times New Roman" w:hAnsi="Times New Roman"/>
          <w:bCs/>
          <w:iCs/>
          <w:color w:val="000000"/>
          <w:sz w:val="24"/>
          <w:szCs w:val="24"/>
        </w:rPr>
      </w:pPr>
    </w:p>
    <w:p w14:paraId="3B40277D" w14:textId="0AE1BB25" w:rsidR="00A54EF6" w:rsidRDefault="006A74BE" w:rsidP="009452F6">
      <w:pPr>
        <w:autoSpaceDE w:val="0"/>
        <w:autoSpaceDN w:val="0"/>
        <w:adjustRightInd w:val="0"/>
        <w:spacing w:after="0" w:line="240" w:lineRule="auto"/>
        <w:rPr>
          <w:rFonts w:ascii="Times New Roman" w:hAnsi="Times New Roman"/>
          <w:color w:val="222222"/>
          <w:sz w:val="24"/>
          <w:szCs w:val="24"/>
          <w:shd w:val="clear" w:color="auto" w:fill="FFFFFF"/>
        </w:rPr>
      </w:pPr>
      <w:r w:rsidRPr="003D7191">
        <w:rPr>
          <w:rFonts w:ascii="Times New Roman" w:hAnsi="Times New Roman"/>
          <w:color w:val="222222"/>
          <w:sz w:val="24"/>
          <w:szCs w:val="24"/>
          <w:shd w:val="clear" w:color="auto" w:fill="FFFFFF"/>
        </w:rPr>
        <w:t>Work at these Habitat Focus Areas are completed via</w:t>
      </w:r>
      <w:r w:rsidR="001038D4" w:rsidRPr="003D7191">
        <w:rPr>
          <w:rFonts w:ascii="Times New Roman" w:hAnsi="Times New Roman"/>
          <w:color w:val="222222"/>
          <w:sz w:val="24"/>
          <w:szCs w:val="24"/>
          <w:shd w:val="clear" w:color="auto" w:fill="FFFFFF"/>
        </w:rPr>
        <w:t xml:space="preserve"> </w:t>
      </w:r>
      <w:r w:rsidRPr="003D7191">
        <w:rPr>
          <w:rFonts w:ascii="Times New Roman" w:hAnsi="Times New Roman"/>
          <w:color w:val="222222"/>
          <w:sz w:val="24"/>
          <w:szCs w:val="24"/>
          <w:shd w:val="clear" w:color="auto" w:fill="FFFFFF"/>
        </w:rPr>
        <w:t>grant proposals</w:t>
      </w:r>
      <w:r w:rsidR="001038D4" w:rsidRPr="003D7191">
        <w:rPr>
          <w:rFonts w:ascii="Times New Roman" w:hAnsi="Times New Roman"/>
          <w:color w:val="222222"/>
          <w:sz w:val="24"/>
          <w:szCs w:val="24"/>
          <w:shd w:val="clear" w:color="auto" w:fill="FFFFFF"/>
        </w:rPr>
        <w:t xml:space="preserve"> </w:t>
      </w:r>
      <w:r w:rsidRPr="003D7191">
        <w:rPr>
          <w:rFonts w:ascii="Times New Roman" w:hAnsi="Times New Roman"/>
          <w:color w:val="222222"/>
          <w:sz w:val="24"/>
          <w:szCs w:val="24"/>
          <w:shd w:val="clear" w:color="auto" w:fill="FFFFFF"/>
        </w:rPr>
        <w:t>that take a landscape-scale or watershed approach to implementing on the ground conservation efforts.</w:t>
      </w:r>
      <w:r w:rsidR="001038D4" w:rsidRPr="003D7191">
        <w:rPr>
          <w:rFonts w:ascii="Times New Roman" w:hAnsi="Times New Roman"/>
          <w:color w:val="222222"/>
          <w:sz w:val="24"/>
          <w:szCs w:val="24"/>
          <w:shd w:val="clear" w:color="auto" w:fill="FFFFFF"/>
        </w:rPr>
        <w:t xml:space="preserve">  </w:t>
      </w:r>
      <w:r w:rsidRPr="003D7191">
        <w:rPr>
          <w:rFonts w:ascii="Times New Roman" w:hAnsi="Times New Roman"/>
          <w:color w:val="222222"/>
          <w:sz w:val="24"/>
          <w:szCs w:val="24"/>
          <w:shd w:val="clear" w:color="auto" w:fill="FFFFFF"/>
        </w:rPr>
        <w:t>Proposals must align with specific H</w:t>
      </w:r>
      <w:r w:rsidR="00D81D89" w:rsidRPr="003D7191">
        <w:rPr>
          <w:rFonts w:ascii="Times New Roman" w:hAnsi="Times New Roman"/>
          <w:color w:val="222222"/>
          <w:sz w:val="24"/>
          <w:szCs w:val="24"/>
          <w:shd w:val="clear" w:color="auto" w:fill="FFFFFF"/>
        </w:rPr>
        <w:t>abitat Focus Areas</w:t>
      </w:r>
      <w:r w:rsidRPr="003D7191">
        <w:rPr>
          <w:rFonts w:ascii="Times New Roman" w:hAnsi="Times New Roman"/>
          <w:color w:val="222222"/>
          <w:sz w:val="24"/>
          <w:szCs w:val="24"/>
          <w:shd w:val="clear" w:color="auto" w:fill="FFFFFF"/>
        </w:rPr>
        <w:t xml:space="preserve"> priorities. Project types</w:t>
      </w:r>
      <w:r w:rsidRPr="00D81D89">
        <w:rPr>
          <w:rFonts w:ascii="Times New Roman" w:hAnsi="Times New Roman"/>
          <w:color w:val="222222"/>
          <w:sz w:val="24"/>
          <w:szCs w:val="24"/>
          <w:shd w:val="clear" w:color="auto" w:fill="FFFFFF"/>
        </w:rPr>
        <w:t>, including habitat restoration/</w:t>
      </w:r>
      <w:r w:rsidR="005673A3">
        <w:rPr>
          <w:rFonts w:ascii="Times New Roman" w:hAnsi="Times New Roman"/>
          <w:color w:val="222222"/>
          <w:sz w:val="24"/>
          <w:szCs w:val="24"/>
          <w:shd w:val="clear" w:color="auto" w:fill="FFFFFF"/>
        </w:rPr>
        <w:t xml:space="preserve"> </w:t>
      </w:r>
      <w:r w:rsidRPr="00D81D89">
        <w:rPr>
          <w:rFonts w:ascii="Times New Roman" w:hAnsi="Times New Roman"/>
          <w:color w:val="222222"/>
          <w:sz w:val="24"/>
          <w:szCs w:val="24"/>
          <w:shd w:val="clear" w:color="auto" w:fill="FFFFFF"/>
        </w:rPr>
        <w:t xml:space="preserve">conservation, science/research, long-term monitoring, technology/tool development, and outreach/education, will vary </w:t>
      </w:r>
      <w:r w:rsidR="005673A3">
        <w:rPr>
          <w:rFonts w:ascii="Times New Roman" w:hAnsi="Times New Roman"/>
          <w:color w:val="222222"/>
          <w:sz w:val="24"/>
          <w:szCs w:val="24"/>
          <w:shd w:val="clear" w:color="auto" w:fill="FFFFFF"/>
        </w:rPr>
        <w:t>by Habitat Focus Area</w:t>
      </w:r>
      <w:r w:rsidRPr="00D81D89">
        <w:rPr>
          <w:rFonts w:ascii="Times New Roman" w:hAnsi="Times New Roman"/>
          <w:color w:val="222222"/>
          <w:sz w:val="24"/>
          <w:szCs w:val="24"/>
          <w:shd w:val="clear" w:color="auto" w:fill="FFFFFF"/>
        </w:rPr>
        <w:t>. All projects will support NOAA’s core missions of conserving coastal and</w:t>
      </w:r>
      <w:r w:rsidR="001038D4">
        <w:rPr>
          <w:rFonts w:ascii="Times New Roman" w:hAnsi="Times New Roman"/>
          <w:color w:val="222222"/>
          <w:sz w:val="24"/>
          <w:szCs w:val="24"/>
          <w:shd w:val="clear" w:color="auto" w:fill="FFFFFF"/>
        </w:rPr>
        <w:t xml:space="preserve"> </w:t>
      </w:r>
      <w:r w:rsidRPr="00D81D89">
        <w:rPr>
          <w:rStyle w:val="il"/>
          <w:rFonts w:ascii="Times New Roman" w:hAnsi="Times New Roman"/>
          <w:color w:val="222222"/>
          <w:sz w:val="24"/>
          <w:szCs w:val="24"/>
          <w:shd w:val="clear" w:color="auto" w:fill="FFFFFF"/>
        </w:rPr>
        <w:t>marine</w:t>
      </w:r>
      <w:r w:rsidR="001038D4">
        <w:rPr>
          <w:rFonts w:ascii="Times New Roman" w:hAnsi="Times New Roman"/>
          <w:color w:val="222222"/>
          <w:sz w:val="24"/>
          <w:szCs w:val="24"/>
          <w:shd w:val="clear" w:color="auto" w:fill="FFFFFF"/>
        </w:rPr>
        <w:t xml:space="preserve"> </w:t>
      </w:r>
      <w:r w:rsidRPr="00D81D89">
        <w:rPr>
          <w:rFonts w:ascii="Times New Roman" w:hAnsi="Times New Roman"/>
          <w:color w:val="222222"/>
          <w:sz w:val="24"/>
          <w:szCs w:val="24"/>
          <w:shd w:val="clear" w:color="auto" w:fill="FFFFFF"/>
        </w:rPr>
        <w:t>habitats to support sustainable fisheries, protected resources, and coastal community resilience. Collaboration is encouraged with conservation partners and communities.  </w:t>
      </w:r>
    </w:p>
    <w:p w14:paraId="10D53257" w14:textId="77777777" w:rsidR="00BC18AA" w:rsidRPr="00D81D89" w:rsidRDefault="00BC18AA" w:rsidP="009452F6">
      <w:pPr>
        <w:autoSpaceDE w:val="0"/>
        <w:autoSpaceDN w:val="0"/>
        <w:adjustRightInd w:val="0"/>
        <w:spacing w:after="0" w:line="240" w:lineRule="auto"/>
        <w:rPr>
          <w:rFonts w:ascii="Times New Roman" w:hAnsi="Times New Roman"/>
          <w:bCs/>
          <w:iCs/>
          <w:color w:val="000000"/>
          <w:sz w:val="24"/>
          <w:szCs w:val="24"/>
        </w:rPr>
      </w:pPr>
    </w:p>
    <w:p w14:paraId="70D9061B" w14:textId="02BA573D" w:rsidR="00BC18AA" w:rsidRDefault="00BC18AA" w:rsidP="00BC18AA">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
          <w:bCs/>
          <w:iCs/>
          <w:color w:val="000000"/>
          <w:sz w:val="24"/>
          <w:szCs w:val="24"/>
        </w:rPr>
        <w:t>L</w:t>
      </w:r>
      <w:r w:rsidRPr="00BF7FE4">
        <w:rPr>
          <w:rFonts w:ascii="Times New Roman" w:hAnsi="Times New Roman"/>
          <w:b/>
          <w:bCs/>
          <w:iCs/>
          <w:color w:val="000000"/>
          <w:sz w:val="24"/>
          <w:szCs w:val="24"/>
        </w:rPr>
        <w:t xml:space="preserve">and </w:t>
      </w:r>
      <w:r>
        <w:rPr>
          <w:rFonts w:ascii="Times New Roman" w:hAnsi="Times New Roman"/>
          <w:b/>
          <w:bCs/>
          <w:iCs/>
          <w:color w:val="000000"/>
          <w:sz w:val="24"/>
          <w:szCs w:val="24"/>
        </w:rPr>
        <w:t>in</w:t>
      </w:r>
      <w:r w:rsidRPr="00FC759E">
        <w:rPr>
          <w:rFonts w:ascii="Times New Roman" w:hAnsi="Times New Roman"/>
          <w:b/>
          <w:bCs/>
          <w:iCs/>
          <w:color w:val="000000"/>
          <w:sz w:val="24"/>
          <w:szCs w:val="24"/>
        </w:rPr>
        <w:t xml:space="preserve"> St. George and St. Paul, AK: </w:t>
      </w:r>
      <w:r w:rsidRPr="00E109C1">
        <w:rPr>
          <w:rFonts w:ascii="Times New Roman" w:hAnsi="Times New Roman"/>
          <w:bCs/>
          <w:iCs/>
          <w:color w:val="000000"/>
          <w:sz w:val="24"/>
          <w:szCs w:val="24"/>
          <w:highlight w:val="red"/>
        </w:rPr>
        <w:t xml:space="preserve">Stewardship land in St. George includes land housing a cottage, land housing a seal skin processing plant, and </w:t>
      </w:r>
      <w:r w:rsidR="0037023B" w:rsidRPr="00E109C1">
        <w:rPr>
          <w:rFonts w:ascii="Times New Roman" w:hAnsi="Times New Roman"/>
          <w:bCs/>
          <w:iCs/>
          <w:color w:val="000000"/>
          <w:sz w:val="24"/>
          <w:szCs w:val="24"/>
          <w:highlight w:val="red"/>
        </w:rPr>
        <w:t>seven (</w:t>
      </w:r>
      <w:r w:rsidRPr="00E109C1">
        <w:rPr>
          <w:rFonts w:ascii="Times New Roman" w:hAnsi="Times New Roman"/>
          <w:bCs/>
          <w:iCs/>
          <w:color w:val="000000"/>
          <w:sz w:val="24"/>
          <w:szCs w:val="24"/>
          <w:highlight w:val="red"/>
        </w:rPr>
        <w:t>7</w:t>
      </w:r>
      <w:r w:rsidR="0037023B" w:rsidRPr="00E109C1">
        <w:rPr>
          <w:rFonts w:ascii="Times New Roman" w:hAnsi="Times New Roman"/>
          <w:bCs/>
          <w:iCs/>
          <w:color w:val="000000"/>
          <w:sz w:val="24"/>
          <w:szCs w:val="24"/>
          <w:highlight w:val="red"/>
        </w:rPr>
        <w:t>)</w:t>
      </w:r>
      <w:r w:rsidRPr="00E109C1">
        <w:rPr>
          <w:rFonts w:ascii="Times New Roman" w:hAnsi="Times New Roman"/>
          <w:bCs/>
          <w:iCs/>
          <w:color w:val="000000"/>
          <w:sz w:val="24"/>
          <w:szCs w:val="24"/>
          <w:highlight w:val="red"/>
        </w:rPr>
        <w:t xml:space="preserve"> rookeries.</w:t>
      </w:r>
      <w:r>
        <w:rPr>
          <w:rFonts w:ascii="Times New Roman" w:hAnsi="Times New Roman"/>
          <w:b/>
          <w:bCs/>
          <w:iCs/>
          <w:color w:val="000000"/>
          <w:sz w:val="24"/>
          <w:szCs w:val="24"/>
        </w:rPr>
        <w:t xml:space="preserve">  </w:t>
      </w:r>
      <w:r w:rsidRPr="00FC759E">
        <w:rPr>
          <w:rFonts w:ascii="Times New Roman" w:hAnsi="Times New Roman"/>
          <w:bCs/>
          <w:iCs/>
          <w:color w:val="000000"/>
          <w:sz w:val="24"/>
          <w:szCs w:val="24"/>
        </w:rPr>
        <w:t>These rookeries are specific areas where Alaskan sea lions gather each year to mate and raise young</w:t>
      </w:r>
      <w:r w:rsidR="0037023B">
        <w:rPr>
          <w:rFonts w:ascii="Times New Roman" w:hAnsi="Times New Roman"/>
          <w:bCs/>
          <w:iCs/>
          <w:color w:val="000000"/>
          <w:sz w:val="24"/>
          <w:szCs w:val="24"/>
        </w:rPr>
        <w:t xml:space="preserve">, and are </w:t>
      </w:r>
      <w:r w:rsidRPr="00FC759E">
        <w:rPr>
          <w:rFonts w:ascii="Times New Roman" w:hAnsi="Times New Roman"/>
          <w:bCs/>
          <w:iCs/>
          <w:color w:val="000000"/>
          <w:sz w:val="24"/>
          <w:szCs w:val="24"/>
        </w:rPr>
        <w:t xml:space="preserve">protected by regulation under the Endangered Species Act and the Marine Mammal Protection Act.  Alaska Steller sea lions specifically were first listed under the Endangered Species Act in 1990, mandating NMFS to monitor their population.  </w:t>
      </w:r>
      <w:r w:rsidR="0037023B" w:rsidRPr="00E109C1">
        <w:rPr>
          <w:rFonts w:ascii="Times New Roman" w:hAnsi="Times New Roman"/>
          <w:bCs/>
          <w:iCs/>
          <w:color w:val="000000"/>
          <w:sz w:val="24"/>
          <w:szCs w:val="24"/>
          <w:highlight w:val="red"/>
        </w:rPr>
        <w:t xml:space="preserve">Stewardship land also includes five (5) </w:t>
      </w:r>
      <w:r w:rsidRPr="00E109C1">
        <w:rPr>
          <w:rFonts w:ascii="Times New Roman" w:hAnsi="Times New Roman"/>
          <w:bCs/>
          <w:iCs/>
          <w:color w:val="000000"/>
          <w:sz w:val="24"/>
          <w:szCs w:val="24"/>
          <w:highlight w:val="red"/>
        </w:rPr>
        <w:t>rookeries in St. Paul, AK.</w:t>
      </w:r>
    </w:p>
    <w:p w14:paraId="47BF3071" w14:textId="7269E90F" w:rsidR="00324096" w:rsidRPr="000D75E1" w:rsidRDefault="00324096" w:rsidP="00324096">
      <w:pPr>
        <w:autoSpaceDE w:val="0"/>
        <w:autoSpaceDN w:val="0"/>
        <w:adjustRightInd w:val="0"/>
        <w:spacing w:after="0" w:line="240" w:lineRule="auto"/>
        <w:rPr>
          <w:rFonts w:ascii="Times New Roman" w:hAnsi="Times New Roman"/>
          <w:b/>
          <w:bCs/>
          <w:i/>
          <w:iCs/>
          <w:color w:val="000000"/>
          <w:sz w:val="24"/>
          <w:szCs w:val="24"/>
          <w:u w:val="single"/>
        </w:rPr>
      </w:pPr>
      <w:r w:rsidRPr="000D75E1">
        <w:rPr>
          <w:rFonts w:ascii="Times New Roman" w:hAnsi="Times New Roman"/>
          <w:b/>
          <w:bCs/>
          <w:i/>
          <w:iCs/>
          <w:color w:val="000000"/>
          <w:sz w:val="24"/>
          <w:szCs w:val="24"/>
          <w:u w:val="single"/>
        </w:rPr>
        <w:lastRenderedPageBreak/>
        <w:t>Heritage Assets:</w:t>
      </w:r>
    </w:p>
    <w:p w14:paraId="0CB23765" w14:textId="77777777" w:rsidR="00324096" w:rsidRPr="002026F3" w:rsidRDefault="00324096" w:rsidP="00324096">
      <w:pPr>
        <w:autoSpaceDE w:val="0"/>
        <w:autoSpaceDN w:val="0"/>
        <w:adjustRightInd w:val="0"/>
        <w:spacing w:after="0" w:line="240" w:lineRule="auto"/>
        <w:rPr>
          <w:rFonts w:ascii="Times New Roman" w:hAnsi="Times New Roman"/>
          <w:color w:val="000000"/>
          <w:sz w:val="24"/>
          <w:szCs w:val="24"/>
        </w:rPr>
      </w:pPr>
    </w:p>
    <w:p w14:paraId="2C03E579" w14:textId="77777777" w:rsidR="00324096" w:rsidRDefault="00324096" w:rsidP="00324096">
      <w:pPr>
        <w:autoSpaceDE w:val="0"/>
        <w:autoSpaceDN w:val="0"/>
        <w:adjustRightInd w:val="0"/>
        <w:spacing w:after="0" w:line="240" w:lineRule="auto"/>
        <w:rPr>
          <w:rFonts w:ascii="Times New Roman" w:hAnsi="Times New Roman"/>
          <w:color w:val="000000"/>
          <w:sz w:val="24"/>
          <w:szCs w:val="24"/>
        </w:rPr>
      </w:pPr>
      <w:r w:rsidRPr="00EA63AF">
        <w:rPr>
          <w:rFonts w:ascii="Times New Roman" w:hAnsi="Times New Roman"/>
          <w:color w:val="000000"/>
          <w:sz w:val="24"/>
          <w:szCs w:val="24"/>
        </w:rPr>
        <w:t>Heritage assets are unique for their historical or natural significance, for their cultural, educational, or artistic importance,</w:t>
      </w:r>
      <w:r>
        <w:rPr>
          <w:rFonts w:ascii="Times New Roman" w:hAnsi="Times New Roman"/>
          <w:color w:val="000000"/>
          <w:sz w:val="24"/>
          <w:szCs w:val="24"/>
        </w:rPr>
        <w:t xml:space="preserve"> </w:t>
      </w:r>
      <w:r w:rsidRPr="00EA63AF">
        <w:rPr>
          <w:rFonts w:ascii="Times New Roman" w:hAnsi="Times New Roman"/>
          <w:color w:val="000000"/>
          <w:sz w:val="24"/>
          <w:szCs w:val="24"/>
        </w:rPr>
        <w:t>or for their significant architectural characteristics. The Department generally expects that these assets will be preserved</w:t>
      </w:r>
      <w:r>
        <w:rPr>
          <w:rFonts w:ascii="Times New Roman" w:hAnsi="Times New Roman"/>
          <w:color w:val="000000"/>
          <w:sz w:val="24"/>
          <w:szCs w:val="24"/>
        </w:rPr>
        <w:t xml:space="preserve"> </w:t>
      </w:r>
      <w:r w:rsidRPr="00EA63AF">
        <w:rPr>
          <w:rFonts w:ascii="Times New Roman" w:hAnsi="Times New Roman"/>
          <w:color w:val="000000"/>
          <w:sz w:val="24"/>
          <w:szCs w:val="24"/>
        </w:rPr>
        <w:t>indefinitely</w:t>
      </w:r>
      <w:r w:rsidRPr="002026F3">
        <w:rPr>
          <w:rFonts w:ascii="Times New Roman" w:hAnsi="Times New Roman"/>
          <w:color w:val="000000"/>
          <w:sz w:val="24"/>
          <w:szCs w:val="24"/>
        </w:rPr>
        <w:t>.</w:t>
      </w:r>
    </w:p>
    <w:p w14:paraId="2C872D3F" w14:textId="77777777" w:rsidR="00324096" w:rsidRDefault="00324096" w:rsidP="00324096">
      <w:pPr>
        <w:autoSpaceDE w:val="0"/>
        <w:autoSpaceDN w:val="0"/>
        <w:adjustRightInd w:val="0"/>
        <w:spacing w:after="0" w:line="240" w:lineRule="auto"/>
        <w:rPr>
          <w:rFonts w:ascii="Times New Roman" w:hAnsi="Times New Roman"/>
          <w:color w:val="000000"/>
          <w:sz w:val="24"/>
          <w:szCs w:val="24"/>
        </w:rPr>
      </w:pPr>
    </w:p>
    <w:p w14:paraId="58DF9F01" w14:textId="07D47C7E" w:rsidR="00324096" w:rsidRPr="002026F3" w:rsidRDefault="00324096" w:rsidP="00324096">
      <w:pPr>
        <w:autoSpaceDE w:val="0"/>
        <w:autoSpaceDN w:val="0"/>
        <w:adjustRightInd w:val="0"/>
        <w:spacing w:after="0" w:line="240" w:lineRule="auto"/>
        <w:rPr>
          <w:rFonts w:ascii="Times New Roman" w:hAnsi="Times New Roman"/>
          <w:color w:val="000000"/>
          <w:sz w:val="24"/>
          <w:szCs w:val="24"/>
        </w:rPr>
      </w:pPr>
      <w:r w:rsidRPr="00EA63AF">
        <w:rPr>
          <w:rFonts w:ascii="Times New Roman" w:hAnsi="Times New Roman"/>
          <w:color w:val="000000"/>
          <w:sz w:val="24"/>
          <w:szCs w:val="24"/>
        </w:rPr>
        <w:t>In cases where a heritage asset also has a practical and predominant use for general federal government operations, the</w:t>
      </w:r>
      <w:r>
        <w:rPr>
          <w:rFonts w:ascii="Times New Roman" w:hAnsi="Times New Roman"/>
          <w:color w:val="000000"/>
          <w:sz w:val="24"/>
          <w:szCs w:val="24"/>
        </w:rPr>
        <w:t xml:space="preserve"> </w:t>
      </w:r>
      <w:r w:rsidRPr="00EA63AF">
        <w:rPr>
          <w:rFonts w:ascii="Times New Roman" w:hAnsi="Times New Roman"/>
          <w:color w:val="000000"/>
          <w:sz w:val="24"/>
          <w:szCs w:val="24"/>
        </w:rPr>
        <w:t xml:space="preserve">asset is considered a multi-use heritage asset. The cost of </w:t>
      </w:r>
      <w:r w:rsidR="0037023B">
        <w:rPr>
          <w:rFonts w:ascii="Times New Roman" w:hAnsi="Times New Roman"/>
          <w:color w:val="000000"/>
          <w:sz w:val="24"/>
          <w:szCs w:val="24"/>
        </w:rPr>
        <w:t xml:space="preserve">acquisition, improvement, reconstruction or renovation of </w:t>
      </w:r>
      <w:r w:rsidRPr="00EA63AF">
        <w:rPr>
          <w:rFonts w:ascii="Times New Roman" w:hAnsi="Times New Roman"/>
          <w:color w:val="000000"/>
          <w:sz w:val="24"/>
          <w:szCs w:val="24"/>
        </w:rPr>
        <w:t>a multi-use heritage asset is capitalized as General PP&amp;E and</w:t>
      </w:r>
      <w:r>
        <w:rPr>
          <w:rFonts w:ascii="Times New Roman" w:hAnsi="Times New Roman"/>
          <w:color w:val="000000"/>
          <w:sz w:val="24"/>
          <w:szCs w:val="24"/>
        </w:rPr>
        <w:t xml:space="preserve"> </w:t>
      </w:r>
      <w:r w:rsidRPr="00EA63AF">
        <w:rPr>
          <w:rFonts w:ascii="Times New Roman" w:hAnsi="Times New Roman"/>
          <w:color w:val="000000"/>
          <w:sz w:val="24"/>
          <w:szCs w:val="24"/>
        </w:rPr>
        <w:t xml:space="preserve">is depreciated over </w:t>
      </w:r>
      <w:r w:rsidR="0037023B">
        <w:rPr>
          <w:rFonts w:ascii="Times New Roman" w:hAnsi="Times New Roman"/>
          <w:color w:val="000000"/>
          <w:sz w:val="24"/>
          <w:szCs w:val="24"/>
        </w:rPr>
        <w:t>its estimated</w:t>
      </w:r>
      <w:r w:rsidR="0037023B" w:rsidRPr="00EA63AF">
        <w:rPr>
          <w:rFonts w:ascii="Times New Roman" w:hAnsi="Times New Roman"/>
          <w:color w:val="000000"/>
          <w:sz w:val="24"/>
          <w:szCs w:val="24"/>
        </w:rPr>
        <w:t xml:space="preserve"> </w:t>
      </w:r>
      <w:r w:rsidRPr="00EA63AF">
        <w:rPr>
          <w:rFonts w:ascii="Times New Roman" w:hAnsi="Times New Roman"/>
          <w:color w:val="000000"/>
          <w:sz w:val="24"/>
          <w:szCs w:val="24"/>
        </w:rPr>
        <w:t>useful life.</w:t>
      </w:r>
    </w:p>
    <w:p w14:paraId="15E3D064" w14:textId="77777777" w:rsidR="00324096" w:rsidRDefault="00324096" w:rsidP="00324096">
      <w:pPr>
        <w:autoSpaceDE w:val="0"/>
        <w:autoSpaceDN w:val="0"/>
        <w:adjustRightInd w:val="0"/>
        <w:spacing w:after="0" w:line="240" w:lineRule="auto"/>
        <w:rPr>
          <w:rFonts w:ascii="Times New Roman" w:hAnsi="Times New Roman"/>
          <w:color w:val="000000"/>
          <w:sz w:val="24"/>
          <w:szCs w:val="24"/>
        </w:rPr>
      </w:pPr>
    </w:p>
    <w:p w14:paraId="0BE3F3B2" w14:textId="005E3CA8" w:rsidR="005673A3" w:rsidRDefault="005673A3" w:rsidP="0032409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NOAA’s Line and Staff Offices are responsible for reviewing their real property portfolios and reporting real property heritage assets to NOAA’s Finance Office via quarterly data call submissions.  NOAA’s Real Property Management Division reviews these submissions with the Finance Office for final determination as to whether or not the reported items should be included as heritage assets.</w:t>
      </w:r>
    </w:p>
    <w:p w14:paraId="621BA62D" w14:textId="77777777" w:rsidR="005673A3" w:rsidRDefault="005673A3" w:rsidP="00324096">
      <w:pPr>
        <w:autoSpaceDE w:val="0"/>
        <w:autoSpaceDN w:val="0"/>
        <w:adjustRightInd w:val="0"/>
        <w:spacing w:after="0" w:line="240" w:lineRule="auto"/>
        <w:rPr>
          <w:rFonts w:ascii="Times New Roman" w:hAnsi="Times New Roman"/>
          <w:color w:val="000000"/>
          <w:sz w:val="24"/>
          <w:szCs w:val="24"/>
        </w:rPr>
      </w:pPr>
    </w:p>
    <w:p w14:paraId="06D4ECA9" w14:textId="77777777" w:rsidR="001470E5" w:rsidRPr="00003FD1" w:rsidRDefault="001470E5" w:rsidP="001470E5">
      <w:pPr>
        <w:autoSpaceDE w:val="0"/>
        <w:autoSpaceDN w:val="0"/>
        <w:adjustRightInd w:val="0"/>
        <w:spacing w:after="0" w:line="240" w:lineRule="auto"/>
        <w:rPr>
          <w:rFonts w:ascii="Times New Roman" w:hAnsi="Times New Roman"/>
          <w:color w:val="000000"/>
          <w:sz w:val="24"/>
          <w:szCs w:val="24"/>
        </w:rPr>
      </w:pPr>
      <w:r w:rsidRPr="006C3E18">
        <w:rPr>
          <w:rFonts w:ascii="Times New Roman" w:hAnsi="Times New Roman"/>
          <w:color w:val="222222"/>
          <w:sz w:val="24"/>
          <w:szCs w:val="24"/>
          <w:shd w:val="clear" w:color="auto" w:fill="FFFFFF"/>
        </w:rPr>
        <w:t>NOAA has established policies, procedures, and standards for the preservation, security, handling, storage, and display of NOAA</w:t>
      </w:r>
      <w:r>
        <w:rPr>
          <w:rFonts w:ascii="Times New Roman" w:hAnsi="Times New Roman"/>
          <w:color w:val="222222"/>
          <w:sz w:val="24"/>
          <w:szCs w:val="24"/>
          <w:shd w:val="clear" w:color="auto" w:fill="FFFFFF"/>
        </w:rPr>
        <w:t xml:space="preserve"> personal property</w:t>
      </w:r>
      <w:r w:rsidRPr="006C3E18">
        <w:rPr>
          <w:rFonts w:ascii="Times New Roman" w:hAnsi="Times New Roman"/>
          <w:color w:val="222222"/>
          <w:sz w:val="24"/>
          <w:szCs w:val="24"/>
          <w:shd w:val="clear" w:color="auto" w:fill="FFFFFF"/>
        </w:rPr>
        <w:t xml:space="preserve"> heritage assets to ensure the proper care and handling of these assets under its control or jurisdiction.  NOAA maintains a nationwide inventory of</w:t>
      </w:r>
      <w:r>
        <w:rPr>
          <w:rFonts w:ascii="Times New Roman" w:hAnsi="Times New Roman"/>
          <w:color w:val="222222"/>
          <w:sz w:val="24"/>
          <w:szCs w:val="24"/>
          <w:shd w:val="clear" w:color="auto" w:fill="FFFFFF"/>
        </w:rPr>
        <w:t xml:space="preserve"> personal property</w:t>
      </w:r>
      <w:r w:rsidRPr="006C3E18">
        <w:rPr>
          <w:rFonts w:ascii="Times New Roman" w:hAnsi="Times New Roman"/>
          <w:color w:val="222222"/>
          <w:sz w:val="24"/>
          <w:szCs w:val="24"/>
          <w:shd w:val="clear" w:color="auto" w:fill="FFFFFF"/>
        </w:rPr>
        <w:t xml:space="preserve"> heritage assets, ensuring that they are identified and recorded in the Personal Property Heritage Asset Accountability System.  Each loan of NOAA </w:t>
      </w:r>
      <w:r>
        <w:rPr>
          <w:rFonts w:ascii="Times New Roman" w:hAnsi="Times New Roman"/>
          <w:color w:val="222222"/>
          <w:sz w:val="24"/>
          <w:szCs w:val="24"/>
          <w:shd w:val="clear" w:color="auto" w:fill="FFFFFF"/>
        </w:rPr>
        <w:t xml:space="preserve">personal property </w:t>
      </w:r>
      <w:r w:rsidRPr="006C3E18">
        <w:rPr>
          <w:rFonts w:ascii="Times New Roman" w:hAnsi="Times New Roman"/>
          <w:color w:val="222222"/>
          <w:sz w:val="24"/>
          <w:szCs w:val="24"/>
          <w:shd w:val="clear" w:color="auto" w:fill="FFFFFF"/>
        </w:rPr>
        <w:t>heritage assets, including assignin</w:t>
      </w:r>
      <w:r>
        <w:rPr>
          <w:rFonts w:ascii="Times New Roman" w:hAnsi="Times New Roman"/>
          <w:color w:val="222222"/>
          <w:sz w:val="24"/>
          <w:szCs w:val="24"/>
          <w:shd w:val="clear" w:color="auto" w:fill="FFFFFF"/>
        </w:rPr>
        <w:t xml:space="preserve">g values and inventory numbers, </w:t>
      </w:r>
      <w:r w:rsidRPr="006C3E18">
        <w:rPr>
          <w:rFonts w:ascii="Times New Roman" w:hAnsi="Times New Roman"/>
          <w:color w:val="222222"/>
          <w:sz w:val="24"/>
          <w:szCs w:val="24"/>
          <w:shd w:val="clear" w:color="auto" w:fill="FFFFFF"/>
        </w:rPr>
        <w:t>and reporting the current condition of heritage assets</w:t>
      </w:r>
      <w:r>
        <w:rPr>
          <w:rFonts w:ascii="Times New Roman" w:hAnsi="Times New Roman"/>
          <w:color w:val="222222"/>
          <w:sz w:val="24"/>
          <w:szCs w:val="24"/>
          <w:shd w:val="clear" w:color="auto" w:fill="FFFFFF"/>
        </w:rPr>
        <w:t>,</w:t>
      </w:r>
      <w:r w:rsidRPr="006C3E18">
        <w:rPr>
          <w:rFonts w:ascii="Times New Roman" w:hAnsi="Times New Roman"/>
          <w:color w:val="222222"/>
          <w:sz w:val="24"/>
          <w:szCs w:val="24"/>
          <w:shd w:val="clear" w:color="auto" w:fill="FFFFFF"/>
        </w:rPr>
        <w:t xml:space="preserve"> is tracked and updated and the fe</w:t>
      </w:r>
      <w:r>
        <w:rPr>
          <w:rFonts w:ascii="Times New Roman" w:hAnsi="Times New Roman"/>
          <w:color w:val="222222"/>
          <w:sz w:val="24"/>
          <w:szCs w:val="24"/>
          <w:shd w:val="clear" w:color="auto" w:fill="FFFFFF"/>
        </w:rPr>
        <w:t>asibility of new asset loans is</w:t>
      </w:r>
      <w:r w:rsidRPr="006C3E18">
        <w:rPr>
          <w:rFonts w:ascii="Times New Roman" w:hAnsi="Times New Roman"/>
          <w:color w:val="222222"/>
          <w:sz w:val="24"/>
          <w:szCs w:val="24"/>
          <w:shd w:val="clear" w:color="auto" w:fill="FFFFFF"/>
        </w:rPr>
        <w:t xml:space="preserve"> determined.  In addition, NOAA collects </w:t>
      </w:r>
      <w:r>
        <w:rPr>
          <w:rFonts w:ascii="Times New Roman" w:hAnsi="Times New Roman"/>
          <w:color w:val="222222"/>
          <w:sz w:val="24"/>
          <w:szCs w:val="24"/>
          <w:shd w:val="clear" w:color="auto" w:fill="FFFFFF"/>
        </w:rPr>
        <w:t>personal property heritage assets</w:t>
      </w:r>
      <w:r w:rsidRPr="006C3E18">
        <w:rPr>
          <w:rFonts w:ascii="Times New Roman" w:hAnsi="Times New Roman"/>
          <w:color w:val="222222"/>
          <w:sz w:val="24"/>
          <w:szCs w:val="24"/>
          <w:shd w:val="clear" w:color="auto" w:fill="FFFFFF"/>
        </w:rPr>
        <w:t xml:space="preserve"> of historic, cultural, artistic, or education significance to NOAA.</w:t>
      </w:r>
    </w:p>
    <w:p w14:paraId="47EE648C" w14:textId="64C511CB" w:rsidR="00324096" w:rsidRDefault="00324096" w:rsidP="00324096">
      <w:pPr>
        <w:autoSpaceDE w:val="0"/>
        <w:autoSpaceDN w:val="0"/>
        <w:adjustRightInd w:val="0"/>
        <w:spacing w:after="0" w:line="240" w:lineRule="auto"/>
        <w:rPr>
          <w:rFonts w:ascii="Times New Roman" w:hAnsi="Times New Roman"/>
          <w:color w:val="000000"/>
          <w:sz w:val="24"/>
          <w:szCs w:val="24"/>
        </w:rPr>
      </w:pPr>
    </w:p>
    <w:p w14:paraId="77488F6E" w14:textId="56329CDD" w:rsidR="005673A3" w:rsidRDefault="005673A3" w:rsidP="00324096">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Non-Colle</w:t>
      </w:r>
      <w:r w:rsidR="00FA3D24">
        <w:rPr>
          <w:rFonts w:ascii="Times New Roman" w:hAnsi="Times New Roman"/>
          <w:b/>
          <w:color w:val="000000"/>
          <w:sz w:val="24"/>
          <w:szCs w:val="24"/>
        </w:rPr>
        <w:t>c</w:t>
      </w:r>
      <w:r>
        <w:rPr>
          <w:rFonts w:ascii="Times New Roman" w:hAnsi="Times New Roman"/>
          <w:b/>
          <w:color w:val="000000"/>
          <w:sz w:val="24"/>
          <w:szCs w:val="24"/>
        </w:rPr>
        <w:t>tion-Type Heritage Assets:</w:t>
      </w:r>
    </w:p>
    <w:p w14:paraId="37078848" w14:textId="77777777" w:rsidR="005673A3" w:rsidRPr="005673A3" w:rsidRDefault="005673A3" w:rsidP="00324096">
      <w:pPr>
        <w:autoSpaceDE w:val="0"/>
        <w:autoSpaceDN w:val="0"/>
        <w:adjustRightInd w:val="0"/>
        <w:spacing w:after="0" w:line="240" w:lineRule="auto"/>
        <w:rPr>
          <w:rFonts w:ascii="Times New Roman" w:hAnsi="Times New Roman"/>
          <w:b/>
          <w:color w:val="000000"/>
          <w:sz w:val="24"/>
          <w:szCs w:val="24"/>
        </w:rPr>
      </w:pPr>
    </w:p>
    <w:p w14:paraId="1F9418D1" w14:textId="7E571B14" w:rsidR="00D27FF2" w:rsidRDefault="005673A3" w:rsidP="00D27FF2">
      <w:pPr>
        <w:autoSpaceDE w:val="0"/>
        <w:autoSpaceDN w:val="0"/>
        <w:adjustRightInd w:val="0"/>
        <w:spacing w:after="0" w:line="240" w:lineRule="auto"/>
        <w:rPr>
          <w:rFonts w:ascii="Times New Roman" w:hAnsi="Times New Roman"/>
          <w:color w:val="000000"/>
          <w:sz w:val="24"/>
          <w:szCs w:val="24"/>
        </w:rPr>
      </w:pPr>
      <w:r w:rsidRPr="003D7191">
        <w:rPr>
          <w:rFonts w:ascii="Times New Roman" w:hAnsi="Times New Roman"/>
          <w:color w:val="000000"/>
          <w:sz w:val="24"/>
          <w:szCs w:val="24"/>
        </w:rPr>
        <w:t>Non-collection-type h</w:t>
      </w:r>
      <w:r w:rsidR="00324096" w:rsidRPr="003D7191">
        <w:rPr>
          <w:rFonts w:ascii="Times New Roman" w:hAnsi="Times New Roman"/>
          <w:color w:val="000000"/>
          <w:sz w:val="24"/>
          <w:szCs w:val="24"/>
        </w:rPr>
        <w:t>eritage Asset</w:t>
      </w:r>
      <w:r w:rsidR="00F04901" w:rsidRPr="003D7191">
        <w:rPr>
          <w:rFonts w:ascii="Times New Roman" w:hAnsi="Times New Roman"/>
          <w:color w:val="000000"/>
          <w:sz w:val="24"/>
          <w:szCs w:val="24"/>
        </w:rPr>
        <w:t xml:space="preserve">s </w:t>
      </w:r>
      <w:r w:rsidR="00324096" w:rsidRPr="003D7191">
        <w:rPr>
          <w:rFonts w:ascii="Times New Roman" w:hAnsi="Times New Roman"/>
          <w:color w:val="000000"/>
          <w:sz w:val="24"/>
          <w:szCs w:val="24"/>
        </w:rPr>
        <w:t xml:space="preserve">maintained by NOAA </w:t>
      </w:r>
      <w:r w:rsidRPr="003D7191">
        <w:rPr>
          <w:rFonts w:ascii="Times New Roman" w:hAnsi="Times New Roman"/>
          <w:color w:val="000000"/>
          <w:sz w:val="24"/>
          <w:szCs w:val="24"/>
        </w:rPr>
        <w:t xml:space="preserve">currently </w:t>
      </w:r>
      <w:r w:rsidR="00324096" w:rsidRPr="003D7191">
        <w:rPr>
          <w:rFonts w:ascii="Times New Roman" w:hAnsi="Times New Roman"/>
          <w:color w:val="000000"/>
          <w:sz w:val="24"/>
          <w:szCs w:val="24"/>
        </w:rPr>
        <w:t>include</w:t>
      </w:r>
      <w:r w:rsidRPr="003D7191">
        <w:rPr>
          <w:rFonts w:ascii="Times New Roman" w:hAnsi="Times New Roman"/>
          <w:color w:val="000000"/>
          <w:sz w:val="24"/>
          <w:szCs w:val="24"/>
        </w:rPr>
        <w:t xml:space="preserve"> the following</w:t>
      </w:r>
      <w:r w:rsidR="0020767F" w:rsidRPr="003D7191">
        <w:rPr>
          <w:rFonts w:ascii="Times New Roman" w:hAnsi="Times New Roman"/>
          <w:color w:val="000000"/>
          <w:sz w:val="24"/>
          <w:szCs w:val="24"/>
        </w:rPr>
        <w:t>:</w:t>
      </w:r>
    </w:p>
    <w:p w14:paraId="6EB6C4F3" w14:textId="77777777" w:rsidR="001470E5" w:rsidRPr="003D7191" w:rsidRDefault="001470E5" w:rsidP="00D27FF2">
      <w:pPr>
        <w:autoSpaceDE w:val="0"/>
        <w:autoSpaceDN w:val="0"/>
        <w:adjustRightInd w:val="0"/>
        <w:spacing w:after="0" w:line="240" w:lineRule="auto"/>
        <w:rPr>
          <w:rFonts w:ascii="Times New Roman" w:hAnsi="Times New Roman"/>
          <w:color w:val="000000"/>
          <w:sz w:val="24"/>
          <w:szCs w:val="24"/>
        </w:rPr>
      </w:pPr>
    </w:p>
    <w:p w14:paraId="0F88C81F" w14:textId="41EADBCB" w:rsidR="0020767F" w:rsidRPr="008646F0" w:rsidRDefault="005673A3" w:rsidP="0020767F">
      <w:pPr>
        <w:pStyle w:val="ListParagraph"/>
        <w:numPr>
          <w:ilvl w:val="0"/>
          <w:numId w:val="21"/>
        </w:numPr>
        <w:autoSpaceDE w:val="0"/>
        <w:autoSpaceDN w:val="0"/>
        <w:adjustRightInd w:val="0"/>
        <w:spacing w:after="0" w:line="240" w:lineRule="auto"/>
        <w:rPr>
          <w:rFonts w:ascii="Times New Roman" w:hAnsi="Times New Roman"/>
          <w:bCs/>
          <w:color w:val="000000"/>
          <w:sz w:val="24"/>
          <w:szCs w:val="24"/>
          <w:highlight w:val="red"/>
        </w:rPr>
      </w:pPr>
      <w:r w:rsidRPr="008646F0">
        <w:rPr>
          <w:rFonts w:ascii="Times New Roman" w:hAnsi="Times New Roman"/>
          <w:color w:val="000000"/>
          <w:sz w:val="24"/>
          <w:szCs w:val="24"/>
          <w:highlight w:val="red"/>
        </w:rPr>
        <w:t xml:space="preserve">NMFS </w:t>
      </w:r>
      <w:r w:rsidR="00324096" w:rsidRPr="008646F0">
        <w:rPr>
          <w:rFonts w:ascii="Times New Roman" w:hAnsi="Times New Roman"/>
          <w:color w:val="000000"/>
          <w:sz w:val="24"/>
          <w:szCs w:val="24"/>
          <w:highlight w:val="red"/>
        </w:rPr>
        <w:t>Galveston Laboratory</w:t>
      </w:r>
      <w:r w:rsidR="0037023B">
        <w:rPr>
          <w:rFonts w:ascii="Times New Roman" w:hAnsi="Times New Roman"/>
          <w:color w:val="000000"/>
          <w:sz w:val="24"/>
          <w:szCs w:val="24"/>
          <w:highlight w:val="red"/>
        </w:rPr>
        <w:t xml:space="preserve"> Buildings</w:t>
      </w:r>
      <w:r w:rsidR="00F04901" w:rsidRPr="008646F0">
        <w:rPr>
          <w:rFonts w:ascii="Times New Roman" w:hAnsi="Times New Roman"/>
          <w:color w:val="000000"/>
          <w:sz w:val="24"/>
          <w:szCs w:val="24"/>
          <w:highlight w:val="red"/>
        </w:rPr>
        <w:t xml:space="preserve"> (</w:t>
      </w:r>
      <w:r w:rsidR="007614A7" w:rsidRPr="008646F0">
        <w:rPr>
          <w:rFonts w:ascii="Times New Roman" w:hAnsi="Times New Roman"/>
          <w:color w:val="000000"/>
          <w:sz w:val="24"/>
          <w:szCs w:val="24"/>
          <w:highlight w:val="red"/>
        </w:rPr>
        <w:t>5</w:t>
      </w:r>
      <w:r w:rsidR="0037023B">
        <w:rPr>
          <w:rFonts w:ascii="Times New Roman" w:hAnsi="Times New Roman"/>
          <w:color w:val="000000"/>
          <w:sz w:val="24"/>
          <w:szCs w:val="24"/>
          <w:highlight w:val="red"/>
        </w:rPr>
        <w:t>) in Galveston, TX</w:t>
      </w:r>
      <w:r w:rsidR="0020767F" w:rsidRPr="008646F0">
        <w:rPr>
          <w:rFonts w:ascii="Times New Roman" w:hAnsi="Times New Roman"/>
          <w:color w:val="000000"/>
          <w:sz w:val="24"/>
          <w:szCs w:val="24"/>
          <w:highlight w:val="red"/>
        </w:rPr>
        <w:t>;</w:t>
      </w:r>
    </w:p>
    <w:p w14:paraId="08493171" w14:textId="77777777" w:rsidR="006A2C47" w:rsidRPr="008646F0" w:rsidRDefault="006A2C47" w:rsidP="006A2C47">
      <w:pPr>
        <w:pStyle w:val="ListParagraph"/>
        <w:numPr>
          <w:ilvl w:val="0"/>
          <w:numId w:val="21"/>
        </w:numPr>
        <w:autoSpaceDE w:val="0"/>
        <w:autoSpaceDN w:val="0"/>
        <w:adjustRightInd w:val="0"/>
        <w:spacing w:after="0" w:line="240" w:lineRule="auto"/>
        <w:rPr>
          <w:rFonts w:ascii="Times New Roman" w:hAnsi="Times New Roman"/>
          <w:bCs/>
          <w:color w:val="000000"/>
          <w:sz w:val="24"/>
          <w:szCs w:val="24"/>
          <w:highlight w:val="red"/>
        </w:rPr>
      </w:pPr>
      <w:r w:rsidRPr="008646F0">
        <w:rPr>
          <w:rFonts w:ascii="Times New Roman" w:hAnsi="Times New Roman"/>
          <w:color w:val="000000"/>
          <w:sz w:val="24"/>
          <w:szCs w:val="24"/>
          <w:highlight w:val="red"/>
        </w:rPr>
        <w:t>NMFS St. George Cottage (building)</w:t>
      </w:r>
      <w:r>
        <w:rPr>
          <w:rFonts w:ascii="Times New Roman" w:hAnsi="Times New Roman"/>
          <w:color w:val="000000"/>
          <w:sz w:val="24"/>
          <w:szCs w:val="24"/>
          <w:highlight w:val="red"/>
        </w:rPr>
        <w:t xml:space="preserve"> in St. George, AK</w:t>
      </w:r>
      <w:r w:rsidRPr="008646F0">
        <w:rPr>
          <w:rFonts w:ascii="Times New Roman" w:hAnsi="Times New Roman"/>
          <w:color w:val="000000"/>
          <w:sz w:val="24"/>
          <w:szCs w:val="24"/>
          <w:highlight w:val="red"/>
        </w:rPr>
        <w:t>;</w:t>
      </w:r>
    </w:p>
    <w:p w14:paraId="0D71F79A" w14:textId="3C942748" w:rsidR="0020767F" w:rsidRPr="008646F0" w:rsidRDefault="00324096" w:rsidP="0020767F">
      <w:pPr>
        <w:pStyle w:val="ListParagraph"/>
        <w:numPr>
          <w:ilvl w:val="0"/>
          <w:numId w:val="21"/>
        </w:numPr>
        <w:autoSpaceDE w:val="0"/>
        <w:autoSpaceDN w:val="0"/>
        <w:adjustRightInd w:val="0"/>
        <w:spacing w:after="0" w:line="240" w:lineRule="auto"/>
        <w:rPr>
          <w:rFonts w:ascii="Times New Roman" w:hAnsi="Times New Roman"/>
          <w:bCs/>
          <w:color w:val="000000"/>
          <w:sz w:val="24"/>
          <w:szCs w:val="24"/>
          <w:highlight w:val="red"/>
        </w:rPr>
      </w:pPr>
      <w:r w:rsidRPr="008646F0">
        <w:rPr>
          <w:rFonts w:ascii="Times New Roman" w:hAnsi="Times New Roman"/>
          <w:color w:val="000000"/>
          <w:sz w:val="24"/>
          <w:szCs w:val="24"/>
          <w:highlight w:val="red"/>
        </w:rPr>
        <w:t>NMFS St. George Seal</w:t>
      </w:r>
      <w:r w:rsidR="00AE04BF" w:rsidRPr="008646F0">
        <w:rPr>
          <w:rFonts w:ascii="Times New Roman" w:hAnsi="Times New Roman"/>
          <w:color w:val="000000"/>
          <w:sz w:val="24"/>
          <w:szCs w:val="24"/>
          <w:highlight w:val="red"/>
        </w:rPr>
        <w:t xml:space="preserve"> Skin Processing </w:t>
      </w:r>
      <w:r w:rsidRPr="008646F0">
        <w:rPr>
          <w:rFonts w:ascii="Times New Roman" w:hAnsi="Times New Roman"/>
          <w:color w:val="000000"/>
          <w:sz w:val="24"/>
          <w:szCs w:val="24"/>
          <w:highlight w:val="red"/>
        </w:rPr>
        <w:t>Plant</w:t>
      </w:r>
      <w:r w:rsidR="00F04901" w:rsidRPr="008646F0">
        <w:rPr>
          <w:rFonts w:ascii="Times New Roman" w:hAnsi="Times New Roman"/>
          <w:color w:val="000000"/>
          <w:sz w:val="24"/>
          <w:szCs w:val="24"/>
          <w:highlight w:val="red"/>
        </w:rPr>
        <w:t xml:space="preserve"> (building)</w:t>
      </w:r>
      <w:r w:rsidR="0037023B">
        <w:rPr>
          <w:rFonts w:ascii="Times New Roman" w:hAnsi="Times New Roman"/>
          <w:color w:val="000000"/>
          <w:sz w:val="24"/>
          <w:szCs w:val="24"/>
          <w:highlight w:val="red"/>
        </w:rPr>
        <w:t xml:space="preserve"> in St. George, AK</w:t>
      </w:r>
      <w:r w:rsidR="0020767F" w:rsidRPr="008646F0">
        <w:rPr>
          <w:rFonts w:ascii="Times New Roman" w:hAnsi="Times New Roman"/>
          <w:color w:val="000000"/>
          <w:sz w:val="24"/>
          <w:szCs w:val="24"/>
          <w:highlight w:val="red"/>
        </w:rPr>
        <w:t>;</w:t>
      </w:r>
    </w:p>
    <w:p w14:paraId="33DD787E" w14:textId="77777777" w:rsidR="006A2C47" w:rsidRPr="008646F0" w:rsidRDefault="006A2C47" w:rsidP="006A2C47">
      <w:pPr>
        <w:pStyle w:val="ListParagraph"/>
        <w:numPr>
          <w:ilvl w:val="0"/>
          <w:numId w:val="21"/>
        </w:numPr>
        <w:autoSpaceDE w:val="0"/>
        <w:autoSpaceDN w:val="0"/>
        <w:adjustRightInd w:val="0"/>
        <w:spacing w:before="240" w:after="0" w:line="240" w:lineRule="auto"/>
        <w:rPr>
          <w:rFonts w:ascii="Times New Roman" w:hAnsi="Times New Roman"/>
          <w:bCs/>
          <w:color w:val="000000"/>
          <w:sz w:val="24"/>
          <w:szCs w:val="24"/>
          <w:highlight w:val="red"/>
        </w:rPr>
      </w:pPr>
      <w:r w:rsidRPr="008646F0">
        <w:rPr>
          <w:rFonts w:ascii="Times New Roman" w:hAnsi="Times New Roman"/>
          <w:bCs/>
          <w:color w:val="000000"/>
          <w:sz w:val="24"/>
          <w:szCs w:val="24"/>
          <w:highlight w:val="red"/>
        </w:rPr>
        <w:t>National Environmental Satellite, Data, and Information Services Buildings (8) in Gilmore Creek, Fairbanks, AK;</w:t>
      </w:r>
    </w:p>
    <w:p w14:paraId="7FA6C5E0" w14:textId="6E7EA7DB" w:rsidR="006A2C47" w:rsidRPr="008646F0" w:rsidRDefault="006A2C47" w:rsidP="006A2C47">
      <w:pPr>
        <w:pStyle w:val="ListParagraph"/>
        <w:numPr>
          <w:ilvl w:val="0"/>
          <w:numId w:val="21"/>
        </w:numPr>
        <w:autoSpaceDE w:val="0"/>
        <w:autoSpaceDN w:val="0"/>
        <w:adjustRightInd w:val="0"/>
        <w:spacing w:after="0" w:line="240" w:lineRule="auto"/>
        <w:rPr>
          <w:rFonts w:ascii="Times New Roman" w:hAnsi="Times New Roman"/>
          <w:bCs/>
          <w:color w:val="000000"/>
          <w:sz w:val="24"/>
          <w:szCs w:val="24"/>
          <w:highlight w:val="red"/>
        </w:rPr>
      </w:pPr>
      <w:r w:rsidRPr="008646F0">
        <w:rPr>
          <w:rFonts w:ascii="Times New Roman" w:hAnsi="Times New Roman"/>
          <w:bCs/>
          <w:color w:val="000000"/>
          <w:sz w:val="24"/>
          <w:szCs w:val="24"/>
          <w:highlight w:val="red"/>
        </w:rPr>
        <w:t xml:space="preserve">Northwest Fisheries Science Center </w:t>
      </w:r>
      <w:r>
        <w:rPr>
          <w:rFonts w:ascii="Times New Roman" w:hAnsi="Times New Roman"/>
          <w:bCs/>
          <w:color w:val="000000"/>
          <w:sz w:val="24"/>
          <w:szCs w:val="24"/>
          <w:highlight w:val="red"/>
        </w:rPr>
        <w:t>(b</w:t>
      </w:r>
      <w:r w:rsidRPr="008646F0">
        <w:rPr>
          <w:rFonts w:ascii="Times New Roman" w:hAnsi="Times New Roman"/>
          <w:bCs/>
          <w:color w:val="000000"/>
          <w:sz w:val="24"/>
          <w:szCs w:val="24"/>
          <w:highlight w:val="red"/>
        </w:rPr>
        <w:t>uilding</w:t>
      </w:r>
      <w:r>
        <w:rPr>
          <w:rFonts w:ascii="Times New Roman" w:hAnsi="Times New Roman"/>
          <w:bCs/>
          <w:color w:val="000000"/>
          <w:sz w:val="24"/>
          <w:szCs w:val="24"/>
          <w:highlight w:val="red"/>
        </w:rPr>
        <w:t>)</w:t>
      </w:r>
      <w:r w:rsidRPr="008646F0">
        <w:rPr>
          <w:rFonts w:ascii="Times New Roman" w:hAnsi="Times New Roman"/>
          <w:bCs/>
          <w:color w:val="000000"/>
          <w:sz w:val="24"/>
          <w:szCs w:val="24"/>
          <w:highlight w:val="red"/>
        </w:rPr>
        <w:t xml:space="preserve"> in Seattle, WA;</w:t>
      </w:r>
    </w:p>
    <w:p w14:paraId="0CC1F61B" w14:textId="074B6CD0" w:rsidR="005673A3" w:rsidRPr="008646F0" w:rsidRDefault="005673A3" w:rsidP="005673A3">
      <w:pPr>
        <w:pStyle w:val="ListParagraph"/>
        <w:numPr>
          <w:ilvl w:val="0"/>
          <w:numId w:val="21"/>
        </w:numPr>
        <w:autoSpaceDE w:val="0"/>
        <w:autoSpaceDN w:val="0"/>
        <w:adjustRightInd w:val="0"/>
        <w:spacing w:after="0" w:line="240" w:lineRule="auto"/>
        <w:rPr>
          <w:rFonts w:ascii="Times New Roman" w:hAnsi="Times New Roman"/>
          <w:bCs/>
          <w:color w:val="000000"/>
          <w:sz w:val="24"/>
          <w:szCs w:val="24"/>
          <w:highlight w:val="red"/>
        </w:rPr>
      </w:pPr>
      <w:r w:rsidRPr="008646F0">
        <w:rPr>
          <w:rFonts w:ascii="Times New Roman" w:hAnsi="Times New Roman"/>
          <w:color w:val="000000"/>
          <w:sz w:val="24"/>
          <w:szCs w:val="24"/>
          <w:highlight w:val="red"/>
        </w:rPr>
        <w:t xml:space="preserve">Office of Oceanic and Atmospheric Research (OAR) Air </w:t>
      </w:r>
      <w:r w:rsidRPr="008646F0">
        <w:rPr>
          <w:rFonts w:ascii="Times New Roman" w:hAnsi="Times New Roman"/>
          <w:bCs/>
          <w:color w:val="000000"/>
          <w:sz w:val="24"/>
          <w:szCs w:val="24"/>
          <w:highlight w:val="red"/>
        </w:rPr>
        <w:t>Resources Lab</w:t>
      </w:r>
      <w:r w:rsidR="006A2C47">
        <w:rPr>
          <w:rFonts w:ascii="Times New Roman" w:hAnsi="Times New Roman"/>
          <w:bCs/>
          <w:color w:val="000000"/>
          <w:sz w:val="24"/>
          <w:szCs w:val="24"/>
          <w:highlight w:val="red"/>
        </w:rPr>
        <w:t xml:space="preserve"> (building)</w:t>
      </w:r>
      <w:r w:rsidRPr="008646F0">
        <w:rPr>
          <w:rFonts w:ascii="Times New Roman" w:hAnsi="Times New Roman"/>
          <w:bCs/>
          <w:color w:val="000000"/>
          <w:sz w:val="24"/>
          <w:szCs w:val="24"/>
          <w:highlight w:val="red"/>
        </w:rPr>
        <w:t xml:space="preserve"> in Oak Ridge, TN;</w:t>
      </w:r>
    </w:p>
    <w:p w14:paraId="6692D8DB" w14:textId="16B887BE" w:rsidR="00B97ECE" w:rsidRPr="008646F0" w:rsidRDefault="005673A3" w:rsidP="0020767F">
      <w:pPr>
        <w:pStyle w:val="ListParagraph"/>
        <w:numPr>
          <w:ilvl w:val="0"/>
          <w:numId w:val="21"/>
        </w:numPr>
        <w:autoSpaceDE w:val="0"/>
        <w:autoSpaceDN w:val="0"/>
        <w:adjustRightInd w:val="0"/>
        <w:spacing w:after="0" w:line="240" w:lineRule="auto"/>
        <w:rPr>
          <w:rFonts w:ascii="Times New Roman" w:hAnsi="Times New Roman"/>
          <w:bCs/>
          <w:color w:val="000000"/>
          <w:sz w:val="24"/>
          <w:szCs w:val="24"/>
          <w:highlight w:val="red"/>
        </w:rPr>
      </w:pPr>
      <w:r w:rsidRPr="008646F0">
        <w:rPr>
          <w:rFonts w:ascii="Times New Roman" w:hAnsi="Times New Roman"/>
          <w:color w:val="000000"/>
          <w:sz w:val="24"/>
          <w:szCs w:val="24"/>
          <w:highlight w:val="red"/>
        </w:rPr>
        <w:lastRenderedPageBreak/>
        <w:t xml:space="preserve">OAR </w:t>
      </w:r>
      <w:r w:rsidR="00B97ECE" w:rsidRPr="008646F0">
        <w:rPr>
          <w:rFonts w:ascii="Times New Roman" w:hAnsi="Times New Roman"/>
          <w:color w:val="000000"/>
          <w:sz w:val="24"/>
          <w:szCs w:val="24"/>
          <w:highlight w:val="red"/>
        </w:rPr>
        <w:t>Great Lakes Environmental Research Laboratory/Lake Michigan Field Station</w:t>
      </w:r>
      <w:r w:rsidRPr="008646F0">
        <w:rPr>
          <w:rFonts w:ascii="Times New Roman" w:hAnsi="Times New Roman"/>
          <w:color w:val="000000"/>
          <w:sz w:val="24"/>
          <w:szCs w:val="24"/>
          <w:highlight w:val="red"/>
        </w:rPr>
        <w:t xml:space="preserve"> (building)</w:t>
      </w:r>
      <w:r w:rsidR="006A2C47">
        <w:rPr>
          <w:rFonts w:ascii="Times New Roman" w:hAnsi="Times New Roman"/>
          <w:color w:val="000000"/>
          <w:sz w:val="24"/>
          <w:szCs w:val="24"/>
          <w:highlight w:val="red"/>
        </w:rPr>
        <w:t xml:space="preserve"> in Muskegon, MI</w:t>
      </w:r>
      <w:r w:rsidRPr="008646F0">
        <w:rPr>
          <w:rFonts w:ascii="Times New Roman" w:hAnsi="Times New Roman"/>
          <w:color w:val="000000"/>
          <w:sz w:val="24"/>
          <w:szCs w:val="24"/>
          <w:highlight w:val="red"/>
        </w:rPr>
        <w:t>;</w:t>
      </w:r>
    </w:p>
    <w:p w14:paraId="72DC17DB" w14:textId="5677DB49" w:rsidR="00F04901" w:rsidRPr="008646F0" w:rsidRDefault="00FA3D24" w:rsidP="00F04901">
      <w:pPr>
        <w:pStyle w:val="ListParagraph"/>
        <w:numPr>
          <w:ilvl w:val="0"/>
          <w:numId w:val="21"/>
        </w:numPr>
        <w:autoSpaceDE w:val="0"/>
        <w:autoSpaceDN w:val="0"/>
        <w:adjustRightInd w:val="0"/>
        <w:spacing w:after="0" w:line="240" w:lineRule="auto"/>
        <w:rPr>
          <w:rFonts w:ascii="Times New Roman" w:hAnsi="Times New Roman"/>
          <w:bCs/>
          <w:color w:val="000000"/>
          <w:sz w:val="24"/>
          <w:szCs w:val="24"/>
          <w:highlight w:val="red"/>
        </w:rPr>
      </w:pPr>
      <w:r w:rsidRPr="008646F0">
        <w:rPr>
          <w:rFonts w:ascii="Times New Roman" w:hAnsi="Times New Roman"/>
          <w:color w:val="000000"/>
          <w:sz w:val="24"/>
          <w:szCs w:val="24"/>
          <w:highlight w:val="red"/>
        </w:rPr>
        <w:t>Western Regional Center H</w:t>
      </w:r>
      <w:r w:rsidR="00F04901" w:rsidRPr="008646F0">
        <w:rPr>
          <w:rFonts w:ascii="Times New Roman" w:hAnsi="Times New Roman"/>
          <w:color w:val="000000"/>
          <w:sz w:val="24"/>
          <w:szCs w:val="24"/>
          <w:highlight w:val="red"/>
        </w:rPr>
        <w:t xml:space="preserve">angars </w:t>
      </w:r>
      <w:r w:rsidRPr="008646F0">
        <w:rPr>
          <w:rFonts w:ascii="Times New Roman" w:hAnsi="Times New Roman"/>
          <w:color w:val="000000"/>
          <w:sz w:val="24"/>
          <w:szCs w:val="24"/>
          <w:highlight w:val="red"/>
        </w:rPr>
        <w:t>(2)</w:t>
      </w:r>
      <w:r w:rsidR="001038D4" w:rsidRPr="008646F0">
        <w:rPr>
          <w:rFonts w:ascii="Times New Roman" w:hAnsi="Times New Roman"/>
          <w:color w:val="000000"/>
          <w:sz w:val="24"/>
          <w:szCs w:val="24"/>
          <w:highlight w:val="red"/>
        </w:rPr>
        <w:t xml:space="preserve"> </w:t>
      </w:r>
      <w:r w:rsidR="00F04901" w:rsidRPr="008646F0">
        <w:rPr>
          <w:rFonts w:ascii="Times New Roman" w:hAnsi="Times New Roman"/>
          <w:color w:val="000000"/>
          <w:sz w:val="24"/>
          <w:szCs w:val="24"/>
          <w:highlight w:val="red"/>
        </w:rPr>
        <w:t>at the Water Resource Center in Seattle, WA</w:t>
      </w:r>
      <w:r w:rsidRPr="008646F0">
        <w:rPr>
          <w:rFonts w:ascii="Times New Roman" w:hAnsi="Times New Roman"/>
          <w:color w:val="000000"/>
          <w:sz w:val="24"/>
          <w:szCs w:val="24"/>
          <w:highlight w:val="red"/>
        </w:rPr>
        <w:t xml:space="preserve"> (buildings)</w:t>
      </w:r>
      <w:r w:rsidR="00F04901" w:rsidRPr="008646F0">
        <w:rPr>
          <w:rFonts w:ascii="Times New Roman" w:hAnsi="Times New Roman"/>
          <w:color w:val="000000"/>
          <w:sz w:val="24"/>
          <w:szCs w:val="24"/>
          <w:highlight w:val="red"/>
        </w:rPr>
        <w:t>;</w:t>
      </w:r>
    </w:p>
    <w:p w14:paraId="67CB3D39" w14:textId="77777777" w:rsidR="001470E5" w:rsidRDefault="001470E5" w:rsidP="00324096">
      <w:pPr>
        <w:autoSpaceDE w:val="0"/>
        <w:autoSpaceDN w:val="0"/>
        <w:adjustRightInd w:val="0"/>
        <w:spacing w:after="0" w:line="240" w:lineRule="auto"/>
        <w:rPr>
          <w:rFonts w:ascii="Times New Roman" w:hAnsi="Times New Roman"/>
          <w:bCs/>
          <w:sz w:val="24"/>
          <w:szCs w:val="24"/>
        </w:rPr>
      </w:pPr>
    </w:p>
    <w:p w14:paraId="0377D7D3" w14:textId="5C051814" w:rsidR="001470E5" w:rsidRDefault="001470E5" w:rsidP="001470E5">
      <w:pPr>
        <w:autoSpaceDE w:val="0"/>
        <w:autoSpaceDN w:val="0"/>
        <w:adjustRightInd w:val="0"/>
        <w:spacing w:after="0" w:line="240" w:lineRule="auto"/>
        <w:rPr>
          <w:rFonts w:ascii="Times New Roman" w:hAnsi="Times New Roman"/>
          <w:bCs/>
          <w:sz w:val="24"/>
          <w:szCs w:val="24"/>
        </w:rPr>
      </w:pPr>
      <w:r w:rsidRPr="001F301C">
        <w:rPr>
          <w:rFonts w:ascii="Times New Roman" w:hAnsi="Times New Roman"/>
          <w:bCs/>
          <w:sz w:val="24"/>
          <w:szCs w:val="24"/>
          <w:highlight w:val="red"/>
        </w:rPr>
        <w:t>For FY 202</w:t>
      </w:r>
      <w:r w:rsidR="008C1DDA" w:rsidRPr="001F301C">
        <w:rPr>
          <w:rFonts w:ascii="Times New Roman" w:hAnsi="Times New Roman"/>
          <w:bCs/>
          <w:sz w:val="24"/>
          <w:szCs w:val="24"/>
          <w:highlight w:val="red"/>
        </w:rPr>
        <w:t>1</w:t>
      </w:r>
      <w:r w:rsidRPr="001F301C">
        <w:rPr>
          <w:rFonts w:ascii="Times New Roman" w:hAnsi="Times New Roman"/>
          <w:bCs/>
          <w:sz w:val="24"/>
          <w:szCs w:val="24"/>
          <w:highlight w:val="red"/>
        </w:rPr>
        <w:t xml:space="preserve">, the major methods of withdrawal </w:t>
      </w:r>
      <w:r w:rsidR="006A2C47">
        <w:rPr>
          <w:rFonts w:ascii="Times New Roman" w:hAnsi="Times New Roman"/>
          <w:bCs/>
          <w:sz w:val="24"/>
          <w:szCs w:val="24"/>
          <w:highlight w:val="red"/>
        </w:rPr>
        <w:t xml:space="preserve">of NOAA’s non-collection-type heritage assets </w:t>
      </w:r>
      <w:proofErr w:type="gramStart"/>
      <w:r w:rsidR="006A2C47">
        <w:rPr>
          <w:rFonts w:ascii="Times New Roman" w:hAnsi="Times New Roman"/>
          <w:bCs/>
          <w:sz w:val="24"/>
          <w:szCs w:val="24"/>
          <w:highlight w:val="red"/>
        </w:rPr>
        <w:t xml:space="preserve">included </w:t>
      </w:r>
      <w:r w:rsidRPr="001F301C">
        <w:rPr>
          <w:rFonts w:ascii="Times New Roman" w:hAnsi="Times New Roman"/>
          <w:bCs/>
          <w:sz w:val="24"/>
          <w:szCs w:val="24"/>
          <w:highlight w:val="red"/>
        </w:rPr>
        <w:t xml:space="preserve"> </w:t>
      </w:r>
      <w:r w:rsidR="008C1DDA" w:rsidRPr="001F301C">
        <w:rPr>
          <w:rFonts w:ascii="Times New Roman" w:hAnsi="Times New Roman"/>
          <w:bCs/>
          <w:sz w:val="24"/>
          <w:szCs w:val="24"/>
          <w:highlight w:val="red"/>
        </w:rPr>
        <w:t>_</w:t>
      </w:r>
      <w:proofErr w:type="gramEnd"/>
      <w:r w:rsidR="008C1DDA" w:rsidRPr="001F301C">
        <w:rPr>
          <w:rFonts w:ascii="Times New Roman" w:hAnsi="Times New Roman"/>
          <w:bCs/>
          <w:sz w:val="24"/>
          <w:szCs w:val="24"/>
          <w:highlight w:val="red"/>
        </w:rPr>
        <w:t>____</w:t>
      </w:r>
      <w:r w:rsidRPr="001F301C">
        <w:rPr>
          <w:rFonts w:ascii="Times New Roman" w:hAnsi="Times New Roman"/>
          <w:bCs/>
          <w:sz w:val="24"/>
          <w:szCs w:val="24"/>
          <w:highlight w:val="red"/>
        </w:rPr>
        <w:t xml:space="preserve">. Other major methods of withdrawal include </w:t>
      </w:r>
      <w:r w:rsidR="006A2C47">
        <w:rPr>
          <w:rFonts w:ascii="Times New Roman" w:hAnsi="Times New Roman"/>
          <w:bCs/>
          <w:sz w:val="24"/>
          <w:szCs w:val="24"/>
          <w:highlight w:val="red"/>
        </w:rPr>
        <w:t xml:space="preserve">demolition, </w:t>
      </w:r>
      <w:r w:rsidRPr="001F301C">
        <w:rPr>
          <w:rFonts w:ascii="Times New Roman" w:hAnsi="Times New Roman"/>
          <w:bCs/>
          <w:sz w:val="24"/>
          <w:szCs w:val="24"/>
          <w:highlight w:val="red"/>
        </w:rPr>
        <w:t>disposal, transfer, and sale.</w:t>
      </w:r>
    </w:p>
    <w:p w14:paraId="6D0C839A" w14:textId="77777777" w:rsidR="006A2C47" w:rsidRDefault="006A2C47" w:rsidP="001470E5">
      <w:pPr>
        <w:autoSpaceDE w:val="0"/>
        <w:autoSpaceDN w:val="0"/>
        <w:adjustRightInd w:val="0"/>
        <w:spacing w:after="0" w:line="240" w:lineRule="auto"/>
        <w:rPr>
          <w:rFonts w:ascii="Times New Roman" w:hAnsi="Times New Roman"/>
          <w:bCs/>
          <w:sz w:val="24"/>
          <w:szCs w:val="24"/>
        </w:rPr>
      </w:pPr>
    </w:p>
    <w:p w14:paraId="506573E4" w14:textId="539641C8" w:rsidR="00324096" w:rsidRPr="003D7191" w:rsidRDefault="00324096" w:rsidP="00324096">
      <w:pPr>
        <w:autoSpaceDE w:val="0"/>
        <w:autoSpaceDN w:val="0"/>
        <w:adjustRightInd w:val="0"/>
        <w:spacing w:after="0" w:line="240" w:lineRule="auto"/>
        <w:rPr>
          <w:rFonts w:ascii="Times New Roman" w:hAnsi="Times New Roman"/>
          <w:bCs/>
          <w:sz w:val="24"/>
          <w:szCs w:val="24"/>
        </w:rPr>
      </w:pPr>
      <w:r w:rsidRPr="003D7191">
        <w:rPr>
          <w:rFonts w:ascii="Times New Roman" w:hAnsi="Times New Roman"/>
          <w:bCs/>
          <w:sz w:val="24"/>
          <w:szCs w:val="24"/>
        </w:rPr>
        <w:t xml:space="preserve">Information regarding deferred maintenance and repairs for heritage assets is included </w:t>
      </w:r>
      <w:r w:rsidR="00A95BB6" w:rsidRPr="003D7191">
        <w:rPr>
          <w:rFonts w:ascii="Times New Roman" w:hAnsi="Times New Roman"/>
          <w:bCs/>
          <w:sz w:val="24"/>
          <w:szCs w:val="24"/>
        </w:rPr>
        <w:t xml:space="preserve">in </w:t>
      </w:r>
      <w:r w:rsidR="00C023AF">
        <w:rPr>
          <w:rFonts w:ascii="Times New Roman" w:hAnsi="Times New Roman"/>
          <w:bCs/>
          <w:sz w:val="24"/>
          <w:szCs w:val="24"/>
        </w:rPr>
        <w:t xml:space="preserve">the </w:t>
      </w:r>
      <w:r w:rsidR="00C023AF" w:rsidRPr="009750FF">
        <w:rPr>
          <w:rFonts w:ascii="Times New Roman" w:hAnsi="Times New Roman"/>
          <w:bCs/>
          <w:i/>
          <w:iCs/>
          <w:sz w:val="24"/>
          <w:szCs w:val="24"/>
        </w:rPr>
        <w:t>Required Supplementary Information (Unaudited)</w:t>
      </w:r>
      <w:r w:rsidR="00C023AF">
        <w:rPr>
          <w:rFonts w:ascii="Times New Roman" w:hAnsi="Times New Roman"/>
          <w:bCs/>
          <w:sz w:val="24"/>
          <w:szCs w:val="24"/>
        </w:rPr>
        <w:t xml:space="preserve"> section</w:t>
      </w:r>
      <w:r w:rsidRPr="003D7191">
        <w:rPr>
          <w:rFonts w:ascii="Times New Roman" w:hAnsi="Times New Roman"/>
          <w:bCs/>
          <w:sz w:val="24"/>
          <w:szCs w:val="24"/>
        </w:rPr>
        <w:t>.</w:t>
      </w:r>
    </w:p>
    <w:p w14:paraId="5F1BC183" w14:textId="77777777" w:rsidR="00324096" w:rsidRPr="003D7191" w:rsidRDefault="00324096" w:rsidP="00324096">
      <w:pPr>
        <w:autoSpaceDE w:val="0"/>
        <w:autoSpaceDN w:val="0"/>
        <w:adjustRightInd w:val="0"/>
        <w:spacing w:after="0" w:line="240" w:lineRule="auto"/>
        <w:rPr>
          <w:rFonts w:ascii="Times New Roman" w:hAnsi="Times New Roman"/>
          <w:b/>
          <w:bCs/>
          <w:i/>
          <w:iCs/>
          <w:color w:val="000000"/>
          <w:sz w:val="24"/>
          <w:szCs w:val="24"/>
        </w:rPr>
      </w:pPr>
    </w:p>
    <w:p w14:paraId="46DBB247" w14:textId="77777777" w:rsidR="006B180A" w:rsidRPr="00FA3D24" w:rsidRDefault="000D75E1" w:rsidP="006B180A">
      <w:pPr>
        <w:autoSpaceDE w:val="0"/>
        <w:autoSpaceDN w:val="0"/>
        <w:adjustRightInd w:val="0"/>
        <w:spacing w:after="0" w:line="240" w:lineRule="auto"/>
        <w:rPr>
          <w:rFonts w:ascii="Times New Roman" w:hAnsi="Times New Roman"/>
          <w:b/>
          <w:bCs/>
          <w:iCs/>
          <w:color w:val="000000"/>
          <w:sz w:val="24"/>
          <w:szCs w:val="24"/>
        </w:rPr>
      </w:pPr>
      <w:r w:rsidRPr="003D7191">
        <w:rPr>
          <w:rFonts w:ascii="Times New Roman" w:hAnsi="Times New Roman"/>
          <w:b/>
          <w:bCs/>
          <w:iCs/>
          <w:color w:val="000000"/>
          <w:sz w:val="24"/>
          <w:szCs w:val="24"/>
        </w:rPr>
        <w:t xml:space="preserve">Collection-type </w:t>
      </w:r>
      <w:r w:rsidR="006B180A" w:rsidRPr="003D7191">
        <w:rPr>
          <w:rFonts w:ascii="Times New Roman" w:hAnsi="Times New Roman"/>
          <w:b/>
          <w:bCs/>
          <w:iCs/>
          <w:color w:val="000000"/>
          <w:sz w:val="24"/>
          <w:szCs w:val="24"/>
        </w:rPr>
        <w:t>Heritage Assets:</w:t>
      </w:r>
    </w:p>
    <w:p w14:paraId="75533903" w14:textId="77777777" w:rsidR="00E33D39" w:rsidRPr="002026F3" w:rsidRDefault="00E33D39" w:rsidP="006B180A">
      <w:pPr>
        <w:autoSpaceDE w:val="0"/>
        <w:autoSpaceDN w:val="0"/>
        <w:adjustRightInd w:val="0"/>
        <w:spacing w:after="0" w:line="240" w:lineRule="auto"/>
        <w:rPr>
          <w:rFonts w:ascii="Times New Roman" w:hAnsi="Times New Roman"/>
          <w:b/>
          <w:bCs/>
          <w:color w:val="000000"/>
          <w:sz w:val="24"/>
          <w:szCs w:val="24"/>
        </w:rPr>
      </w:pPr>
    </w:p>
    <w:p w14:paraId="5778008C" w14:textId="29F8DB63" w:rsidR="00F54C58" w:rsidRPr="00580A34" w:rsidRDefault="00B10BA5" w:rsidP="00807D1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NOAA’s h</w:t>
      </w:r>
      <w:r w:rsidR="00807D15" w:rsidRPr="002026F3">
        <w:rPr>
          <w:rFonts w:ascii="Times New Roman" w:hAnsi="Times New Roman"/>
          <w:color w:val="000000"/>
          <w:sz w:val="24"/>
          <w:szCs w:val="24"/>
        </w:rPr>
        <w:t>istorical artifacts are designated collection-type heritage assets if they help illustrate the social, educational, and cultural heritage of NOAA and its predecessor agencies (Coast and Geodetic Survey, U.S. Fish Commission, the Weather Bureau, the Institutes for Environmental Research, the Environmental Science Services Administration, etc.). These</w:t>
      </w:r>
      <w:r>
        <w:rPr>
          <w:rFonts w:ascii="Times New Roman" w:hAnsi="Times New Roman"/>
          <w:color w:val="000000"/>
          <w:sz w:val="24"/>
          <w:szCs w:val="24"/>
        </w:rPr>
        <w:t xml:space="preserve"> </w:t>
      </w:r>
      <w:r w:rsidRPr="002026F3">
        <w:rPr>
          <w:rFonts w:ascii="Times New Roman" w:hAnsi="Times New Roman"/>
          <w:color w:val="000000"/>
          <w:sz w:val="24"/>
          <w:szCs w:val="24"/>
        </w:rPr>
        <w:t>artifacts</w:t>
      </w:r>
      <w:r>
        <w:rPr>
          <w:rFonts w:ascii="Times New Roman" w:hAnsi="Times New Roman"/>
          <w:color w:val="000000"/>
          <w:sz w:val="24"/>
          <w:szCs w:val="24"/>
        </w:rPr>
        <w:t xml:space="preserve"> </w:t>
      </w:r>
      <w:r w:rsidR="00807D15" w:rsidRPr="002026F3">
        <w:rPr>
          <w:rFonts w:ascii="Times New Roman" w:hAnsi="Times New Roman"/>
          <w:color w:val="000000"/>
          <w:sz w:val="24"/>
          <w:szCs w:val="24"/>
        </w:rPr>
        <w:t>include, but are not limited to</w:t>
      </w:r>
      <w:r>
        <w:rPr>
          <w:rFonts w:ascii="Times New Roman" w:hAnsi="Times New Roman"/>
          <w:color w:val="000000"/>
          <w:sz w:val="24"/>
          <w:szCs w:val="24"/>
        </w:rPr>
        <w:t xml:space="preserve">: </w:t>
      </w:r>
      <w:r w:rsidRPr="002026F3">
        <w:rPr>
          <w:rFonts w:ascii="Times New Roman" w:hAnsi="Times New Roman"/>
          <w:color w:val="000000"/>
          <w:sz w:val="24"/>
          <w:szCs w:val="24"/>
        </w:rPr>
        <w:t>books, journals, publications, photographs</w:t>
      </w:r>
      <w:r>
        <w:rPr>
          <w:rFonts w:ascii="Times New Roman" w:hAnsi="Times New Roman"/>
          <w:color w:val="000000"/>
          <w:sz w:val="24"/>
          <w:szCs w:val="24"/>
        </w:rPr>
        <w:t>,</w:t>
      </w:r>
      <w:r w:rsidRPr="002026F3">
        <w:rPr>
          <w:rFonts w:ascii="Times New Roman" w:hAnsi="Times New Roman"/>
          <w:color w:val="000000"/>
          <w:sz w:val="24"/>
          <w:szCs w:val="24"/>
        </w:rPr>
        <w:t xml:space="preserve"> motion pictures, manuscripts, records, nautical chart plates</w:t>
      </w:r>
      <w:r w:rsidR="00807D15" w:rsidRPr="002026F3">
        <w:rPr>
          <w:rFonts w:ascii="Times New Roman" w:hAnsi="Times New Roman"/>
          <w:color w:val="000000"/>
          <w:sz w:val="24"/>
          <w:szCs w:val="24"/>
        </w:rPr>
        <w:t xml:space="preserve">, bells, gyrocompasses, brass citations, flags, pennants, </w:t>
      </w:r>
      <w:r w:rsidR="007A798D">
        <w:rPr>
          <w:rFonts w:ascii="Times New Roman" w:hAnsi="Times New Roman"/>
          <w:color w:val="000000"/>
          <w:sz w:val="24"/>
          <w:szCs w:val="24"/>
        </w:rPr>
        <w:t>c</w:t>
      </w:r>
      <w:r w:rsidR="00807D15" w:rsidRPr="002026F3">
        <w:rPr>
          <w:rFonts w:ascii="Times New Roman" w:hAnsi="Times New Roman"/>
          <w:color w:val="000000"/>
          <w:sz w:val="24"/>
          <w:szCs w:val="24"/>
        </w:rPr>
        <w:t xml:space="preserve">hronometers, ship seals, clocks, compasses, fittings, miscellaneous ship fragments, lithographic </w:t>
      </w:r>
      <w:r w:rsidR="00807D15" w:rsidRPr="00580A34">
        <w:rPr>
          <w:rFonts w:ascii="Times New Roman" w:hAnsi="Times New Roman"/>
          <w:color w:val="000000"/>
          <w:sz w:val="24"/>
          <w:szCs w:val="24"/>
        </w:rPr>
        <w:t>plates, barometers, rain gauges, and any items that represent the uniqueness of the mission of NOAA and its predecessor agencies.</w:t>
      </w:r>
      <w:r w:rsidR="00FA3D24">
        <w:rPr>
          <w:rFonts w:ascii="Times New Roman" w:hAnsi="Times New Roman"/>
          <w:color w:val="000000"/>
          <w:sz w:val="24"/>
          <w:szCs w:val="24"/>
        </w:rPr>
        <w:t xml:space="preserve">  </w:t>
      </w:r>
      <w:r w:rsidRPr="00580A34">
        <w:rPr>
          <w:rFonts w:ascii="Times New Roman" w:hAnsi="Times New Roman"/>
          <w:color w:val="000000"/>
          <w:sz w:val="24"/>
          <w:szCs w:val="24"/>
        </w:rPr>
        <w:t xml:space="preserve">NOAA’s Logistics Office continually conducts inventories of its collection-type heritage assets. </w:t>
      </w:r>
    </w:p>
    <w:p w14:paraId="31B9D958" w14:textId="77777777" w:rsidR="00F54C58" w:rsidRPr="00580A34" w:rsidRDefault="00F54C58" w:rsidP="00807D15">
      <w:pPr>
        <w:autoSpaceDE w:val="0"/>
        <w:autoSpaceDN w:val="0"/>
        <w:adjustRightInd w:val="0"/>
        <w:spacing w:after="0" w:line="240" w:lineRule="auto"/>
        <w:rPr>
          <w:rFonts w:ascii="Times New Roman" w:hAnsi="Times New Roman"/>
          <w:color w:val="000000"/>
          <w:sz w:val="24"/>
          <w:szCs w:val="24"/>
        </w:rPr>
      </w:pPr>
    </w:p>
    <w:p w14:paraId="40DC9C6D" w14:textId="337C4CF4" w:rsidR="006A2C47" w:rsidRDefault="006A2C47" w:rsidP="00807D15">
      <w:pPr>
        <w:autoSpaceDE w:val="0"/>
        <w:autoSpaceDN w:val="0"/>
        <w:adjustRightInd w:val="0"/>
        <w:spacing w:after="0" w:line="240" w:lineRule="auto"/>
        <w:rPr>
          <w:rFonts w:ascii="Times New Roman" w:hAnsi="Times New Roman"/>
          <w:bCs/>
          <w:color w:val="000000"/>
          <w:sz w:val="24"/>
          <w:szCs w:val="24"/>
        </w:rPr>
      </w:pPr>
      <w:r w:rsidRPr="00241ECE">
        <w:rPr>
          <w:rFonts w:ascii="Times New Roman" w:hAnsi="Times New Roman"/>
          <w:bCs/>
          <w:color w:val="000000"/>
          <w:sz w:val="24"/>
          <w:szCs w:val="24"/>
          <w:highlight w:val="red"/>
        </w:rPr>
        <w:t>For FY 202</w:t>
      </w:r>
      <w:r>
        <w:rPr>
          <w:rFonts w:ascii="Times New Roman" w:hAnsi="Times New Roman"/>
          <w:bCs/>
          <w:color w:val="000000"/>
          <w:sz w:val="24"/>
          <w:szCs w:val="24"/>
          <w:highlight w:val="red"/>
        </w:rPr>
        <w:t>1</w:t>
      </w:r>
      <w:r w:rsidRPr="00241ECE">
        <w:rPr>
          <w:rFonts w:ascii="Times New Roman" w:hAnsi="Times New Roman"/>
          <w:bCs/>
          <w:color w:val="000000"/>
          <w:sz w:val="24"/>
          <w:szCs w:val="24"/>
          <w:highlight w:val="red"/>
        </w:rPr>
        <w:t>, the major method</w:t>
      </w:r>
      <w:r>
        <w:rPr>
          <w:rFonts w:ascii="Times New Roman" w:hAnsi="Times New Roman"/>
          <w:bCs/>
          <w:color w:val="000000"/>
          <w:sz w:val="24"/>
          <w:szCs w:val="24"/>
          <w:highlight w:val="red"/>
        </w:rPr>
        <w:t>s</w:t>
      </w:r>
      <w:r w:rsidRPr="00241ECE">
        <w:rPr>
          <w:rFonts w:ascii="Times New Roman" w:hAnsi="Times New Roman"/>
          <w:bCs/>
          <w:color w:val="000000"/>
          <w:sz w:val="24"/>
          <w:szCs w:val="24"/>
          <w:highlight w:val="red"/>
        </w:rPr>
        <w:t xml:space="preserve"> of withdrawal </w:t>
      </w:r>
      <w:r>
        <w:rPr>
          <w:rFonts w:ascii="Times New Roman" w:hAnsi="Times New Roman"/>
          <w:bCs/>
          <w:color w:val="000000"/>
          <w:sz w:val="24"/>
          <w:szCs w:val="24"/>
          <w:highlight w:val="red"/>
        </w:rPr>
        <w:t xml:space="preserve">of NOAA’s collection-type heritage assets </w:t>
      </w:r>
      <w:proofErr w:type="gramStart"/>
      <w:r>
        <w:rPr>
          <w:rFonts w:ascii="Times New Roman" w:hAnsi="Times New Roman"/>
          <w:bCs/>
          <w:color w:val="000000"/>
          <w:sz w:val="24"/>
          <w:szCs w:val="24"/>
          <w:highlight w:val="red"/>
        </w:rPr>
        <w:t xml:space="preserve">included </w:t>
      </w:r>
      <w:r w:rsidRPr="00241ECE">
        <w:rPr>
          <w:rFonts w:ascii="Times New Roman" w:hAnsi="Times New Roman"/>
          <w:b/>
          <w:bCs/>
          <w:color w:val="000000"/>
          <w:sz w:val="24"/>
          <w:szCs w:val="24"/>
          <w:highlight w:val="red"/>
        </w:rPr>
        <w:t xml:space="preserve"> </w:t>
      </w:r>
      <w:r>
        <w:rPr>
          <w:rFonts w:ascii="Times New Roman" w:hAnsi="Times New Roman"/>
          <w:bCs/>
          <w:color w:val="000000"/>
          <w:sz w:val="24"/>
          <w:szCs w:val="24"/>
          <w:highlight w:val="red"/>
        </w:rPr>
        <w:t>_</w:t>
      </w:r>
      <w:proofErr w:type="gramEnd"/>
      <w:r>
        <w:rPr>
          <w:rFonts w:ascii="Times New Roman" w:hAnsi="Times New Roman"/>
          <w:bCs/>
          <w:color w:val="000000"/>
          <w:sz w:val="24"/>
          <w:szCs w:val="24"/>
          <w:highlight w:val="red"/>
        </w:rPr>
        <w:t>__</w:t>
      </w:r>
      <w:r w:rsidRPr="00241ECE">
        <w:rPr>
          <w:rFonts w:ascii="Times New Roman" w:hAnsi="Times New Roman"/>
          <w:bCs/>
          <w:color w:val="000000"/>
          <w:sz w:val="24"/>
          <w:szCs w:val="24"/>
          <w:highlight w:val="red"/>
        </w:rPr>
        <w:t>.  Other major methods of withdrawal include destroyed, lost, missing, stolen, and donated/transferred to an entity outside of NOAA</w:t>
      </w:r>
      <w:r w:rsidRPr="00EF5AD4">
        <w:rPr>
          <w:rFonts w:ascii="Times New Roman" w:hAnsi="Times New Roman"/>
          <w:bCs/>
          <w:color w:val="000000"/>
          <w:sz w:val="24"/>
          <w:szCs w:val="24"/>
        </w:rPr>
        <w:t>.</w:t>
      </w:r>
    </w:p>
    <w:p w14:paraId="325C946F" w14:textId="77777777" w:rsidR="006A2C47" w:rsidRDefault="006A2C47" w:rsidP="00807D15">
      <w:pPr>
        <w:autoSpaceDE w:val="0"/>
        <w:autoSpaceDN w:val="0"/>
        <w:adjustRightInd w:val="0"/>
        <w:spacing w:after="0" w:line="240" w:lineRule="auto"/>
        <w:rPr>
          <w:rFonts w:ascii="Times New Roman" w:hAnsi="Times New Roman"/>
          <w:bCs/>
          <w:color w:val="000000"/>
          <w:sz w:val="24"/>
          <w:szCs w:val="24"/>
        </w:rPr>
      </w:pPr>
    </w:p>
    <w:p w14:paraId="41D3E0AE" w14:textId="1EDD7EF7" w:rsidR="00807D15" w:rsidRDefault="00807D15" w:rsidP="00807D15">
      <w:pPr>
        <w:autoSpaceDE w:val="0"/>
        <w:autoSpaceDN w:val="0"/>
        <w:adjustRightInd w:val="0"/>
        <w:spacing w:after="0" w:line="240" w:lineRule="auto"/>
        <w:rPr>
          <w:rFonts w:ascii="Times New Roman" w:hAnsi="Times New Roman"/>
          <w:color w:val="000000"/>
          <w:sz w:val="24"/>
          <w:szCs w:val="24"/>
        </w:rPr>
      </w:pPr>
      <w:r w:rsidRPr="00580A34">
        <w:rPr>
          <w:rFonts w:ascii="Times New Roman" w:hAnsi="Times New Roman"/>
          <w:color w:val="000000"/>
          <w:sz w:val="24"/>
          <w:szCs w:val="24"/>
        </w:rPr>
        <w:t>NOAA’s collection-type heritage assets include:</w:t>
      </w:r>
    </w:p>
    <w:p w14:paraId="785F59A3" w14:textId="77777777" w:rsidR="00807D15" w:rsidRDefault="00807D15" w:rsidP="006B180A">
      <w:pPr>
        <w:autoSpaceDE w:val="0"/>
        <w:autoSpaceDN w:val="0"/>
        <w:adjustRightInd w:val="0"/>
        <w:spacing w:after="0" w:line="240" w:lineRule="auto"/>
        <w:rPr>
          <w:rFonts w:ascii="Times New Roman" w:hAnsi="Times New Roman"/>
          <w:color w:val="000000"/>
          <w:sz w:val="24"/>
          <w:szCs w:val="24"/>
        </w:rPr>
      </w:pPr>
    </w:p>
    <w:p w14:paraId="7CFEA7AA" w14:textId="05093234" w:rsidR="006B180A" w:rsidRDefault="00807D15" w:rsidP="006B180A">
      <w:pPr>
        <w:autoSpaceDE w:val="0"/>
        <w:autoSpaceDN w:val="0"/>
        <w:adjustRightInd w:val="0"/>
        <w:spacing w:after="0" w:line="240" w:lineRule="auto"/>
        <w:rPr>
          <w:rFonts w:ascii="Times New Roman" w:hAnsi="Times New Roman"/>
          <w:color w:val="000000"/>
          <w:sz w:val="24"/>
          <w:szCs w:val="24"/>
        </w:rPr>
      </w:pPr>
      <w:r w:rsidRPr="00807D15">
        <w:rPr>
          <w:rFonts w:ascii="Times New Roman" w:hAnsi="Times New Roman"/>
          <w:b/>
          <w:color w:val="000000"/>
          <w:sz w:val="24"/>
          <w:szCs w:val="24"/>
        </w:rPr>
        <w:t>NOAA Central Library:</w:t>
      </w:r>
      <w:r>
        <w:rPr>
          <w:rFonts w:ascii="Times New Roman" w:hAnsi="Times New Roman"/>
          <w:color w:val="000000"/>
          <w:sz w:val="24"/>
          <w:szCs w:val="24"/>
        </w:rPr>
        <w:t xml:space="preserve"> </w:t>
      </w:r>
      <w:r w:rsidR="006B180A" w:rsidRPr="002026F3">
        <w:rPr>
          <w:rFonts w:ascii="Times New Roman" w:hAnsi="Times New Roman"/>
          <w:color w:val="000000"/>
          <w:sz w:val="24"/>
          <w:szCs w:val="24"/>
        </w:rPr>
        <w:t xml:space="preserve">Many of </w:t>
      </w:r>
      <w:r>
        <w:rPr>
          <w:rFonts w:ascii="Times New Roman" w:hAnsi="Times New Roman"/>
          <w:color w:val="000000"/>
          <w:sz w:val="24"/>
          <w:szCs w:val="24"/>
        </w:rPr>
        <w:t>NOAA’s</w:t>
      </w:r>
      <w:r w:rsidR="006B180A" w:rsidRPr="002026F3">
        <w:rPr>
          <w:rFonts w:ascii="Times New Roman" w:hAnsi="Times New Roman"/>
          <w:color w:val="000000"/>
          <w:sz w:val="24"/>
          <w:szCs w:val="24"/>
        </w:rPr>
        <w:t xml:space="preserve"> heritage assets are maintained by the NOAA Central</w:t>
      </w:r>
      <w:r w:rsidR="00E33D39" w:rsidRPr="002026F3">
        <w:rPr>
          <w:rFonts w:ascii="Times New Roman" w:hAnsi="Times New Roman"/>
          <w:color w:val="000000"/>
          <w:sz w:val="24"/>
          <w:szCs w:val="24"/>
        </w:rPr>
        <w:t xml:space="preserve"> </w:t>
      </w:r>
      <w:r w:rsidR="006B180A" w:rsidRPr="002026F3">
        <w:rPr>
          <w:rFonts w:ascii="Times New Roman" w:hAnsi="Times New Roman"/>
          <w:color w:val="000000"/>
          <w:sz w:val="24"/>
          <w:szCs w:val="24"/>
        </w:rPr>
        <w:t xml:space="preserve">Library. </w:t>
      </w:r>
      <w:r w:rsidR="006B180A" w:rsidRPr="00807D15">
        <w:rPr>
          <w:rFonts w:ascii="Times New Roman" w:hAnsi="Times New Roman"/>
          <w:color w:val="000000"/>
          <w:sz w:val="24"/>
          <w:szCs w:val="24"/>
        </w:rPr>
        <w:t xml:space="preserve">The </w:t>
      </w:r>
      <w:r w:rsidR="007A798D">
        <w:rPr>
          <w:rFonts w:ascii="Times New Roman" w:hAnsi="Times New Roman"/>
          <w:color w:val="000000"/>
          <w:sz w:val="24"/>
          <w:szCs w:val="24"/>
        </w:rPr>
        <w:t>holdings</w:t>
      </w:r>
      <w:r w:rsidR="00E33D39" w:rsidRPr="00807D15">
        <w:rPr>
          <w:rFonts w:ascii="Times New Roman" w:hAnsi="Times New Roman"/>
          <w:color w:val="000000"/>
          <w:sz w:val="24"/>
          <w:szCs w:val="24"/>
        </w:rPr>
        <w:t xml:space="preserve"> </w:t>
      </w:r>
      <w:r w:rsidR="006B180A" w:rsidRPr="00807D15">
        <w:rPr>
          <w:rFonts w:ascii="Times New Roman" w:hAnsi="Times New Roman"/>
          <w:color w:val="000000"/>
          <w:sz w:val="24"/>
          <w:szCs w:val="24"/>
        </w:rPr>
        <w:t xml:space="preserve">include </w:t>
      </w:r>
      <w:r w:rsidR="00CC5488">
        <w:rPr>
          <w:rFonts w:ascii="Times New Roman" w:hAnsi="Times New Roman"/>
          <w:color w:val="000000"/>
          <w:sz w:val="24"/>
          <w:szCs w:val="24"/>
        </w:rPr>
        <w:t>artifacts, photographs, documents and motion pictures</w:t>
      </w:r>
      <w:r w:rsidR="006B180A" w:rsidRPr="00807D15">
        <w:rPr>
          <w:rFonts w:ascii="Times New Roman" w:hAnsi="Times New Roman"/>
          <w:color w:val="000000"/>
          <w:sz w:val="24"/>
          <w:szCs w:val="24"/>
        </w:rPr>
        <w:t>.</w:t>
      </w:r>
    </w:p>
    <w:p w14:paraId="507322DD" w14:textId="77777777" w:rsidR="00C276D6" w:rsidRPr="002026F3" w:rsidRDefault="00C276D6" w:rsidP="006B180A">
      <w:pPr>
        <w:autoSpaceDE w:val="0"/>
        <w:autoSpaceDN w:val="0"/>
        <w:adjustRightInd w:val="0"/>
        <w:spacing w:after="0" w:line="240" w:lineRule="auto"/>
        <w:rPr>
          <w:rFonts w:ascii="Times New Roman" w:hAnsi="Times New Roman"/>
          <w:color w:val="000000"/>
          <w:sz w:val="24"/>
          <w:szCs w:val="24"/>
        </w:rPr>
      </w:pPr>
    </w:p>
    <w:p w14:paraId="6C0D46BC" w14:textId="67EFC421" w:rsidR="006B180A" w:rsidRPr="002026F3" w:rsidRDefault="006B180A" w:rsidP="006B180A">
      <w:pPr>
        <w:autoSpaceDE w:val="0"/>
        <w:autoSpaceDN w:val="0"/>
        <w:adjustRightInd w:val="0"/>
        <w:spacing w:after="0" w:line="240" w:lineRule="auto"/>
        <w:rPr>
          <w:rFonts w:ascii="Times New Roman" w:hAnsi="Times New Roman"/>
          <w:color w:val="000000"/>
          <w:sz w:val="24"/>
          <w:szCs w:val="24"/>
        </w:rPr>
      </w:pPr>
      <w:r w:rsidRPr="00807D15">
        <w:rPr>
          <w:rFonts w:ascii="Times New Roman" w:hAnsi="Times New Roman"/>
          <w:b/>
          <w:color w:val="000000"/>
          <w:sz w:val="24"/>
          <w:szCs w:val="24"/>
        </w:rPr>
        <w:t>Thunder Bay Sanctuary Research Collection</w:t>
      </w:r>
      <w:r w:rsidR="00807D15">
        <w:rPr>
          <w:rFonts w:ascii="Times New Roman" w:hAnsi="Times New Roman"/>
          <w:b/>
          <w:color w:val="000000"/>
          <w:sz w:val="24"/>
          <w:szCs w:val="24"/>
        </w:rPr>
        <w:t xml:space="preserve">: </w:t>
      </w:r>
      <w:r w:rsidR="007A798D">
        <w:rPr>
          <w:rFonts w:ascii="Times New Roman" w:hAnsi="Times New Roman"/>
          <w:color w:val="000000"/>
          <w:sz w:val="24"/>
          <w:szCs w:val="24"/>
        </w:rPr>
        <w:t>T</w:t>
      </w:r>
      <w:r w:rsidR="007A798D" w:rsidRPr="002026F3">
        <w:rPr>
          <w:rFonts w:ascii="Times New Roman" w:hAnsi="Times New Roman"/>
          <w:color w:val="000000"/>
          <w:sz w:val="24"/>
          <w:szCs w:val="24"/>
        </w:rPr>
        <w:t>he Thunder Bay National Marine Sanctuary</w:t>
      </w:r>
      <w:r w:rsidR="007A798D">
        <w:rPr>
          <w:rFonts w:ascii="Times New Roman" w:hAnsi="Times New Roman"/>
          <w:color w:val="000000"/>
          <w:sz w:val="24"/>
          <w:szCs w:val="24"/>
        </w:rPr>
        <w:t xml:space="preserve"> (TBNMS) is </w:t>
      </w:r>
      <w:r w:rsidR="007A798D" w:rsidRPr="002026F3">
        <w:rPr>
          <w:rFonts w:ascii="Times New Roman" w:hAnsi="Times New Roman"/>
          <w:color w:val="000000"/>
          <w:sz w:val="24"/>
          <w:szCs w:val="24"/>
        </w:rPr>
        <w:t>jointly managed by NOAA and the State of Mich</w:t>
      </w:r>
      <w:r w:rsidR="007A798D">
        <w:rPr>
          <w:rFonts w:ascii="Times New Roman" w:hAnsi="Times New Roman"/>
          <w:color w:val="000000"/>
          <w:sz w:val="24"/>
          <w:szCs w:val="24"/>
        </w:rPr>
        <w:t xml:space="preserve">igan to protect and interpret a </w:t>
      </w:r>
      <w:r w:rsidR="007A798D" w:rsidRPr="002026F3">
        <w:rPr>
          <w:rFonts w:ascii="Times New Roman" w:hAnsi="Times New Roman"/>
          <w:color w:val="000000"/>
          <w:sz w:val="24"/>
          <w:szCs w:val="24"/>
        </w:rPr>
        <w:t>nationally significant collection of shipwrecks and other maritime heritage resources</w:t>
      </w:r>
      <w:r w:rsidR="007A798D">
        <w:rPr>
          <w:rFonts w:ascii="Times New Roman" w:hAnsi="Times New Roman"/>
          <w:color w:val="000000"/>
          <w:sz w:val="24"/>
          <w:szCs w:val="24"/>
        </w:rPr>
        <w:t xml:space="preserve">. </w:t>
      </w:r>
      <w:r w:rsidRPr="002026F3">
        <w:rPr>
          <w:rFonts w:ascii="Times New Roman" w:hAnsi="Times New Roman"/>
          <w:color w:val="000000"/>
          <w:sz w:val="24"/>
          <w:szCs w:val="24"/>
        </w:rPr>
        <w:t xml:space="preserve">In 2004, </w:t>
      </w:r>
      <w:r w:rsidR="007A798D">
        <w:rPr>
          <w:rFonts w:ascii="Times New Roman" w:hAnsi="Times New Roman"/>
          <w:color w:val="000000"/>
          <w:sz w:val="24"/>
          <w:szCs w:val="24"/>
        </w:rPr>
        <w:t xml:space="preserve">TBNMS </w:t>
      </w:r>
      <w:r w:rsidRPr="002026F3">
        <w:rPr>
          <w:rFonts w:ascii="Times New Roman" w:hAnsi="Times New Roman"/>
          <w:color w:val="000000"/>
          <w:sz w:val="24"/>
          <w:szCs w:val="24"/>
        </w:rPr>
        <w:t>established an agreement with the Alpena County</w:t>
      </w:r>
      <w:r w:rsidR="00E33D39" w:rsidRPr="002026F3">
        <w:rPr>
          <w:rFonts w:ascii="Times New Roman" w:hAnsi="Times New Roman"/>
          <w:color w:val="000000"/>
          <w:sz w:val="24"/>
          <w:szCs w:val="24"/>
        </w:rPr>
        <w:t xml:space="preserve"> </w:t>
      </w:r>
      <w:r w:rsidRPr="002026F3">
        <w:rPr>
          <w:rFonts w:ascii="Times New Roman" w:hAnsi="Times New Roman"/>
          <w:color w:val="000000"/>
          <w:sz w:val="24"/>
          <w:szCs w:val="24"/>
        </w:rPr>
        <w:t xml:space="preserve">George N. Fletcher Public Library to jointly manage this </w:t>
      </w:r>
      <w:r w:rsidR="00807D15">
        <w:rPr>
          <w:rFonts w:ascii="Times New Roman" w:hAnsi="Times New Roman"/>
          <w:color w:val="000000"/>
          <w:sz w:val="24"/>
          <w:szCs w:val="24"/>
        </w:rPr>
        <w:t>c</w:t>
      </w:r>
      <w:r w:rsidRPr="002026F3">
        <w:rPr>
          <w:rFonts w:ascii="Times New Roman" w:hAnsi="Times New Roman"/>
          <w:color w:val="000000"/>
          <w:sz w:val="24"/>
          <w:szCs w:val="24"/>
        </w:rPr>
        <w:t>ollection. Amassed over a period of more than 40 years by historian</w:t>
      </w:r>
      <w:r w:rsidR="00E33D39" w:rsidRPr="002026F3">
        <w:rPr>
          <w:rFonts w:ascii="Times New Roman" w:hAnsi="Times New Roman"/>
          <w:color w:val="000000"/>
          <w:sz w:val="24"/>
          <w:szCs w:val="24"/>
        </w:rPr>
        <w:t xml:space="preserve"> </w:t>
      </w:r>
      <w:r w:rsidRPr="002026F3">
        <w:rPr>
          <w:rFonts w:ascii="Times New Roman" w:hAnsi="Times New Roman"/>
          <w:color w:val="000000"/>
          <w:sz w:val="24"/>
          <w:szCs w:val="24"/>
        </w:rPr>
        <w:t xml:space="preserve">C. Patrick Labadie, the </w:t>
      </w:r>
      <w:r w:rsidR="00807D15">
        <w:rPr>
          <w:rFonts w:ascii="Times New Roman" w:hAnsi="Times New Roman"/>
          <w:color w:val="000000"/>
          <w:sz w:val="24"/>
          <w:szCs w:val="24"/>
        </w:rPr>
        <w:t>c</w:t>
      </w:r>
      <w:r w:rsidRPr="002026F3">
        <w:rPr>
          <w:rFonts w:ascii="Times New Roman" w:hAnsi="Times New Roman"/>
          <w:color w:val="000000"/>
          <w:sz w:val="24"/>
          <w:szCs w:val="24"/>
        </w:rPr>
        <w:t xml:space="preserve">ollection includes information about such diverse subjects as Great Lakes </w:t>
      </w:r>
      <w:r w:rsidRPr="002026F3">
        <w:rPr>
          <w:rFonts w:ascii="Times New Roman" w:hAnsi="Times New Roman"/>
          <w:color w:val="000000"/>
          <w:sz w:val="24"/>
          <w:szCs w:val="24"/>
        </w:rPr>
        <w:lastRenderedPageBreak/>
        <w:t>ports and waterways, docks,</w:t>
      </w:r>
      <w:r w:rsidR="00E33D39" w:rsidRPr="002026F3">
        <w:rPr>
          <w:rFonts w:ascii="Times New Roman" w:hAnsi="Times New Roman"/>
          <w:color w:val="000000"/>
          <w:sz w:val="24"/>
          <w:szCs w:val="24"/>
        </w:rPr>
        <w:t xml:space="preserve"> </w:t>
      </w:r>
      <w:r w:rsidRPr="002026F3">
        <w:rPr>
          <w:rFonts w:ascii="Times New Roman" w:hAnsi="Times New Roman"/>
          <w:color w:val="000000"/>
          <w:sz w:val="24"/>
          <w:szCs w:val="24"/>
        </w:rPr>
        <w:t>cargoes, ships, shipbuilders, owners and fleets, machinery and rigging, notable maritime personalities, and shipwrecks. Special</w:t>
      </w:r>
      <w:r w:rsidR="00E33D39" w:rsidRPr="002026F3">
        <w:rPr>
          <w:rFonts w:ascii="Times New Roman" w:hAnsi="Times New Roman"/>
          <w:color w:val="000000"/>
          <w:sz w:val="24"/>
          <w:szCs w:val="24"/>
        </w:rPr>
        <w:t xml:space="preserve"> </w:t>
      </w:r>
      <w:r w:rsidRPr="002026F3">
        <w:rPr>
          <w:rFonts w:ascii="Times New Roman" w:hAnsi="Times New Roman"/>
          <w:color w:val="000000"/>
          <w:sz w:val="24"/>
          <w:szCs w:val="24"/>
        </w:rPr>
        <w:t xml:space="preserve">features of the </w:t>
      </w:r>
      <w:r w:rsidR="00807D15">
        <w:rPr>
          <w:rFonts w:ascii="Times New Roman" w:hAnsi="Times New Roman"/>
          <w:color w:val="000000"/>
          <w:sz w:val="24"/>
          <w:szCs w:val="24"/>
        </w:rPr>
        <w:t>c</w:t>
      </w:r>
      <w:r w:rsidRPr="002026F3">
        <w:rPr>
          <w:rFonts w:ascii="Times New Roman" w:hAnsi="Times New Roman"/>
          <w:color w:val="000000"/>
          <w:sz w:val="24"/>
          <w:szCs w:val="24"/>
        </w:rPr>
        <w:t>ollection are extensive collections of data cards listing most of the ships on the Great Lakes before 1900,</w:t>
      </w:r>
      <w:r w:rsidR="00E33D39" w:rsidRPr="002026F3">
        <w:rPr>
          <w:rFonts w:ascii="Times New Roman" w:hAnsi="Times New Roman"/>
          <w:color w:val="000000"/>
          <w:sz w:val="24"/>
          <w:szCs w:val="24"/>
        </w:rPr>
        <w:t xml:space="preserve"> </w:t>
      </w:r>
      <w:r w:rsidRPr="002026F3">
        <w:rPr>
          <w:rFonts w:ascii="Times New Roman" w:hAnsi="Times New Roman"/>
          <w:color w:val="000000"/>
          <w:sz w:val="24"/>
          <w:szCs w:val="24"/>
        </w:rPr>
        <w:t>a roster of some 15,000 vessels complete with descriptive data and highlights of the ships’ careers and their ultimate losses</w:t>
      </w:r>
      <w:r w:rsidR="00A45283">
        <w:rPr>
          <w:rFonts w:ascii="Times New Roman" w:hAnsi="Times New Roman"/>
          <w:color w:val="000000"/>
          <w:sz w:val="24"/>
          <w:szCs w:val="24"/>
        </w:rPr>
        <w:t>, and</w:t>
      </w:r>
      <w:r w:rsidRPr="002026F3">
        <w:rPr>
          <w:rFonts w:ascii="Times New Roman" w:hAnsi="Times New Roman"/>
          <w:color w:val="000000"/>
          <w:sz w:val="24"/>
          <w:szCs w:val="24"/>
        </w:rPr>
        <w:t xml:space="preserve"> ship photograph negatives of </w:t>
      </w:r>
      <w:r w:rsidR="007A798D">
        <w:rPr>
          <w:rFonts w:ascii="Times New Roman" w:hAnsi="Times New Roman"/>
          <w:color w:val="000000"/>
          <w:sz w:val="24"/>
          <w:szCs w:val="24"/>
        </w:rPr>
        <w:t>19th</w:t>
      </w:r>
      <w:r w:rsidRPr="002026F3">
        <w:rPr>
          <w:rFonts w:ascii="Times New Roman" w:hAnsi="Times New Roman"/>
          <w:color w:val="000000"/>
          <w:sz w:val="24"/>
          <w:szCs w:val="24"/>
        </w:rPr>
        <w:t xml:space="preserve"> and 20th century Great Lakes ships. </w:t>
      </w:r>
      <w:r w:rsidR="00807D15">
        <w:rPr>
          <w:rFonts w:ascii="Times New Roman" w:hAnsi="Times New Roman"/>
          <w:color w:val="000000"/>
          <w:sz w:val="24"/>
          <w:szCs w:val="24"/>
        </w:rPr>
        <w:t xml:space="preserve">The collection </w:t>
      </w:r>
      <w:r w:rsidRPr="002026F3">
        <w:rPr>
          <w:rFonts w:ascii="Times New Roman" w:hAnsi="Times New Roman"/>
          <w:color w:val="000000"/>
          <w:sz w:val="24"/>
          <w:szCs w:val="24"/>
        </w:rPr>
        <w:t>also include</w:t>
      </w:r>
      <w:r w:rsidR="00807D15">
        <w:rPr>
          <w:rFonts w:ascii="Times New Roman" w:hAnsi="Times New Roman"/>
          <w:color w:val="000000"/>
          <w:sz w:val="24"/>
          <w:szCs w:val="24"/>
        </w:rPr>
        <w:t>s</w:t>
      </w:r>
      <w:r w:rsidRPr="002026F3">
        <w:rPr>
          <w:rFonts w:ascii="Times New Roman" w:hAnsi="Times New Roman"/>
          <w:color w:val="000000"/>
          <w:sz w:val="24"/>
          <w:szCs w:val="24"/>
        </w:rPr>
        <w:t xml:space="preserve"> copies of vessel</w:t>
      </w:r>
      <w:r w:rsidR="00E33D39" w:rsidRPr="002026F3">
        <w:rPr>
          <w:rFonts w:ascii="Times New Roman" w:hAnsi="Times New Roman"/>
          <w:color w:val="000000"/>
          <w:sz w:val="24"/>
          <w:szCs w:val="24"/>
        </w:rPr>
        <w:t xml:space="preserve"> </w:t>
      </w:r>
      <w:r w:rsidRPr="002026F3">
        <w:rPr>
          <w:rFonts w:ascii="Times New Roman" w:hAnsi="Times New Roman"/>
          <w:color w:val="000000"/>
          <w:sz w:val="24"/>
          <w:szCs w:val="24"/>
        </w:rPr>
        <w:t>ownership documents, contemporary ship photographs, books, and other items documenting the Great Lakes history.</w:t>
      </w:r>
    </w:p>
    <w:p w14:paraId="21683C07" w14:textId="1CEC1848" w:rsidR="00FA3AFE" w:rsidRDefault="00FA3AFE" w:rsidP="00F57270">
      <w:pPr>
        <w:autoSpaceDE w:val="0"/>
        <w:autoSpaceDN w:val="0"/>
        <w:adjustRightInd w:val="0"/>
        <w:spacing w:after="0" w:line="240" w:lineRule="auto"/>
        <w:rPr>
          <w:rFonts w:ascii="Times New Roman" w:hAnsi="Times New Roman"/>
          <w:strike/>
          <w:color w:val="000000"/>
          <w:sz w:val="24"/>
          <w:szCs w:val="24"/>
        </w:rPr>
      </w:pPr>
    </w:p>
    <w:p w14:paraId="744C2EAA" w14:textId="5BA9AF96" w:rsidR="00E76B49" w:rsidRDefault="00E8222A" w:rsidP="009452F6">
      <w:pPr>
        <w:autoSpaceDE w:val="0"/>
        <w:autoSpaceDN w:val="0"/>
        <w:adjustRightInd w:val="0"/>
        <w:spacing w:after="0" w:line="240" w:lineRule="auto"/>
        <w:rPr>
          <w:rFonts w:ascii="Times New Roman" w:hAnsi="Times New Roman"/>
          <w:color w:val="000000"/>
          <w:sz w:val="24"/>
          <w:szCs w:val="24"/>
        </w:rPr>
      </w:pPr>
      <w:r w:rsidRPr="00B10BA5">
        <w:rPr>
          <w:rFonts w:ascii="Times New Roman" w:hAnsi="Times New Roman"/>
          <w:b/>
          <w:color w:val="000000"/>
          <w:sz w:val="24"/>
          <w:szCs w:val="24"/>
        </w:rPr>
        <w:t>Florida Keys National Marine Sanctuary</w:t>
      </w:r>
      <w:r w:rsidR="00B10BA5" w:rsidRPr="00B10BA5">
        <w:rPr>
          <w:rFonts w:ascii="Times New Roman" w:hAnsi="Times New Roman"/>
          <w:b/>
          <w:color w:val="000000"/>
          <w:sz w:val="24"/>
          <w:szCs w:val="24"/>
        </w:rPr>
        <w:t xml:space="preserve"> Collection:</w:t>
      </w:r>
      <w:r w:rsidRPr="00E8222A">
        <w:rPr>
          <w:rFonts w:ascii="Times New Roman" w:hAnsi="Times New Roman"/>
          <w:color w:val="000000"/>
          <w:sz w:val="24"/>
          <w:szCs w:val="24"/>
        </w:rPr>
        <w:t xml:space="preserve"> </w:t>
      </w:r>
      <w:r w:rsidR="006952BF" w:rsidRPr="006952BF">
        <w:rPr>
          <w:rFonts w:ascii="Times New Roman" w:hAnsi="Times New Roman"/>
          <w:color w:val="000000"/>
          <w:sz w:val="24"/>
          <w:szCs w:val="24"/>
        </w:rPr>
        <w:t xml:space="preserve">The Florida Keys National Marine Sanctuary (FKNMS) </w:t>
      </w:r>
      <w:r w:rsidR="00FA3D24">
        <w:rPr>
          <w:rFonts w:ascii="Times New Roman" w:hAnsi="Times New Roman"/>
          <w:color w:val="000000"/>
          <w:sz w:val="24"/>
          <w:szCs w:val="24"/>
        </w:rPr>
        <w:t xml:space="preserve">collection-type </w:t>
      </w:r>
      <w:r w:rsidR="00C00B18" w:rsidRPr="00C00B18">
        <w:rPr>
          <w:rFonts w:ascii="Times New Roman" w:hAnsi="Times New Roman"/>
          <w:color w:val="000000"/>
          <w:sz w:val="24"/>
          <w:szCs w:val="24"/>
        </w:rPr>
        <w:t xml:space="preserve">heritage assets include artifacts </w:t>
      </w:r>
      <w:r w:rsidRPr="00E8222A">
        <w:rPr>
          <w:rFonts w:ascii="Times New Roman" w:hAnsi="Times New Roman"/>
          <w:color w:val="000000"/>
          <w:sz w:val="24"/>
          <w:szCs w:val="24"/>
        </w:rPr>
        <w:t xml:space="preserve">from shipwreck and wrecking events occurring in the Florida Keys over a 500-year period. </w:t>
      </w:r>
      <w:r w:rsidR="00FA3D24">
        <w:rPr>
          <w:rFonts w:ascii="Times New Roman" w:hAnsi="Times New Roman"/>
          <w:color w:val="000000"/>
          <w:sz w:val="24"/>
          <w:szCs w:val="24"/>
        </w:rPr>
        <w:t xml:space="preserve"> FKNMS is an abundant mixture of natural and cultural, historic resources.</w:t>
      </w:r>
    </w:p>
    <w:p w14:paraId="19A0E29B" w14:textId="77777777" w:rsidR="006A2C47" w:rsidRDefault="006A2C47" w:rsidP="006A2C47">
      <w:pPr>
        <w:spacing w:after="0" w:line="240" w:lineRule="auto"/>
        <w:rPr>
          <w:rFonts w:ascii="Times New Roman" w:hAnsi="Times New Roman"/>
          <w:color w:val="000000"/>
          <w:sz w:val="24"/>
          <w:szCs w:val="24"/>
        </w:rPr>
      </w:pPr>
    </w:p>
    <w:p w14:paraId="0BF67891" w14:textId="6C587C2E" w:rsidR="0087760A" w:rsidRDefault="009452F6" w:rsidP="006A2C47">
      <w:pPr>
        <w:spacing w:after="0" w:line="240" w:lineRule="auto"/>
        <w:rPr>
          <w:rFonts w:ascii="Times New Roman" w:hAnsi="Times New Roman"/>
          <w:color w:val="000000"/>
          <w:sz w:val="24"/>
          <w:szCs w:val="24"/>
        </w:rPr>
      </w:pPr>
      <w:r w:rsidRPr="009452F6">
        <w:rPr>
          <w:rFonts w:ascii="Times New Roman" w:hAnsi="Times New Roman"/>
          <w:color w:val="000000"/>
          <w:sz w:val="24"/>
          <w:szCs w:val="24"/>
        </w:rPr>
        <w:t xml:space="preserve">The following table summarizes </w:t>
      </w:r>
      <w:r w:rsidR="00D00233">
        <w:rPr>
          <w:rFonts w:ascii="Times New Roman" w:hAnsi="Times New Roman"/>
          <w:color w:val="000000"/>
          <w:sz w:val="24"/>
          <w:szCs w:val="24"/>
        </w:rPr>
        <w:t>NOAA</w:t>
      </w:r>
      <w:r w:rsidRPr="009452F6">
        <w:rPr>
          <w:rFonts w:ascii="Times New Roman" w:hAnsi="Times New Roman"/>
          <w:color w:val="000000"/>
          <w:sz w:val="24"/>
          <w:szCs w:val="24"/>
        </w:rPr>
        <w:t>’s Collection-type Heritage Assets activity and balances</w:t>
      </w:r>
      <w:r w:rsidR="00D00233">
        <w:rPr>
          <w:rFonts w:ascii="Times New Roman" w:hAnsi="Times New Roman"/>
          <w:color w:val="000000"/>
          <w:sz w:val="24"/>
          <w:szCs w:val="24"/>
        </w:rPr>
        <w:t>,</w:t>
      </w:r>
      <w:r>
        <w:rPr>
          <w:rFonts w:ascii="Times New Roman" w:hAnsi="Times New Roman"/>
          <w:color w:val="000000"/>
          <w:sz w:val="24"/>
          <w:szCs w:val="24"/>
        </w:rPr>
        <w:t xml:space="preserve"> in a</w:t>
      </w:r>
      <w:r w:rsidRPr="009452F6">
        <w:rPr>
          <w:rFonts w:ascii="Times New Roman" w:hAnsi="Times New Roman"/>
          <w:color w:val="000000"/>
          <w:sz w:val="24"/>
          <w:szCs w:val="24"/>
        </w:rPr>
        <w:t xml:space="preserve">ctual </w:t>
      </w:r>
      <w:r>
        <w:rPr>
          <w:rFonts w:ascii="Times New Roman" w:hAnsi="Times New Roman"/>
          <w:color w:val="000000"/>
          <w:sz w:val="24"/>
          <w:szCs w:val="24"/>
        </w:rPr>
        <w:t>q</w:t>
      </w:r>
      <w:r w:rsidRPr="009452F6">
        <w:rPr>
          <w:rFonts w:ascii="Times New Roman" w:hAnsi="Times New Roman"/>
          <w:color w:val="000000"/>
          <w:sz w:val="24"/>
          <w:szCs w:val="24"/>
        </w:rPr>
        <w:t>uantities</w:t>
      </w:r>
      <w:r w:rsidR="0087760A">
        <w:rPr>
          <w:rFonts w:ascii="Times New Roman" w:hAnsi="Times New Roman"/>
          <w:color w:val="000000"/>
          <w:sz w:val="24"/>
          <w:szCs w:val="24"/>
        </w:rPr>
        <w:t>.</w:t>
      </w:r>
    </w:p>
    <w:p w14:paraId="4B923DD8" w14:textId="0764AC01" w:rsidR="007435C4" w:rsidRPr="002026F3" w:rsidRDefault="007435C4" w:rsidP="00FB56B8">
      <w:pPr>
        <w:spacing w:after="0" w:line="240" w:lineRule="auto"/>
        <w:rPr>
          <w:rFonts w:ascii="Times New Roman" w:hAnsi="Times New Roman"/>
          <w:color w:val="000000"/>
          <w:sz w:val="24"/>
          <w:szCs w:val="24"/>
        </w:rPr>
      </w:pPr>
    </w:p>
    <w:tbl>
      <w:tblPr>
        <w:tblpPr w:leftFromText="180" w:rightFromText="180" w:vertAnchor="text" w:horzAnchor="margin" w:tblpXSpec="center" w:tblpY="18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
        <w:gridCol w:w="1790"/>
        <w:gridCol w:w="2520"/>
        <w:gridCol w:w="1170"/>
        <w:gridCol w:w="1170"/>
        <w:gridCol w:w="1053"/>
        <w:gridCol w:w="1281"/>
        <w:gridCol w:w="1266"/>
      </w:tblGrid>
      <w:tr w:rsidR="00C3558C" w:rsidRPr="00BE6C3D" w14:paraId="63B67BAB" w14:textId="77777777" w:rsidTr="00FB56B8">
        <w:trPr>
          <w:trHeight w:val="55"/>
        </w:trPr>
        <w:tc>
          <w:tcPr>
            <w:tcW w:w="10435" w:type="dxa"/>
            <w:gridSpan w:val="8"/>
            <w:shd w:val="clear" w:color="auto" w:fill="000000"/>
          </w:tcPr>
          <w:p w14:paraId="7BC5861A" w14:textId="77777777" w:rsidR="00C3558C" w:rsidRPr="00BE6C3D" w:rsidRDefault="00C3558C" w:rsidP="00042323">
            <w:pPr>
              <w:keepNext/>
              <w:spacing w:after="0" w:line="240" w:lineRule="auto"/>
              <w:jc w:val="center"/>
              <w:outlineLvl w:val="4"/>
              <w:rPr>
                <w:rFonts w:ascii="Times New Roman" w:eastAsia="Arial Unicode MS" w:hAnsi="Times New Roman"/>
                <w:b/>
                <w:bCs/>
              </w:rPr>
            </w:pPr>
            <w:r w:rsidRPr="00BE6C3D">
              <w:rPr>
                <w:rFonts w:ascii="Times New Roman" w:eastAsia="Times New Roman" w:hAnsi="Times New Roman"/>
                <w:b/>
                <w:bCs/>
              </w:rPr>
              <w:t>Collection-type Heritage Assets</w:t>
            </w:r>
          </w:p>
        </w:tc>
      </w:tr>
      <w:tr w:rsidR="00C3558C" w:rsidRPr="00BE6C3D" w14:paraId="641B40AA" w14:textId="77777777" w:rsidTr="00FB56B8">
        <w:trPr>
          <w:trHeight w:val="510"/>
        </w:trPr>
        <w:tc>
          <w:tcPr>
            <w:tcW w:w="1975" w:type="dxa"/>
            <w:gridSpan w:val="2"/>
            <w:noWrap/>
            <w:tcMar>
              <w:top w:w="15" w:type="dxa"/>
              <w:left w:w="15" w:type="dxa"/>
              <w:bottom w:w="0" w:type="dxa"/>
              <w:right w:w="15" w:type="dxa"/>
            </w:tcMar>
            <w:vAlign w:val="bottom"/>
          </w:tcPr>
          <w:p w14:paraId="6AB3426F" w14:textId="77777777" w:rsidR="00C3558C" w:rsidRPr="00BE6C3D" w:rsidRDefault="00C3558C" w:rsidP="00042323">
            <w:pPr>
              <w:spacing w:after="0" w:line="240" w:lineRule="auto"/>
              <w:rPr>
                <w:rFonts w:ascii="Times New Roman" w:eastAsia="Arial Unicode MS" w:hAnsi="Times New Roman"/>
                <w:b/>
                <w:bCs/>
              </w:rPr>
            </w:pPr>
            <w:r w:rsidRPr="00BE6C3D">
              <w:rPr>
                <w:rFonts w:ascii="Times New Roman" w:eastAsia="Times New Roman" w:hAnsi="Times New Roman"/>
                <w:b/>
                <w:bCs/>
              </w:rPr>
              <w:t>Entity</w:t>
            </w:r>
          </w:p>
        </w:tc>
        <w:tc>
          <w:tcPr>
            <w:tcW w:w="2520" w:type="dxa"/>
            <w:noWrap/>
            <w:tcMar>
              <w:top w:w="15" w:type="dxa"/>
              <w:left w:w="15" w:type="dxa"/>
              <w:bottom w:w="0" w:type="dxa"/>
              <w:right w:w="15" w:type="dxa"/>
            </w:tcMar>
            <w:vAlign w:val="bottom"/>
          </w:tcPr>
          <w:p w14:paraId="7A088B11" w14:textId="77777777" w:rsidR="00C3558C" w:rsidRPr="00BE6C3D" w:rsidRDefault="00C3558C" w:rsidP="00042323">
            <w:pPr>
              <w:spacing w:after="0" w:line="240" w:lineRule="auto"/>
              <w:rPr>
                <w:rFonts w:ascii="Times New Roman" w:eastAsia="Arial Unicode MS" w:hAnsi="Times New Roman"/>
                <w:b/>
                <w:bCs/>
              </w:rPr>
            </w:pPr>
            <w:r w:rsidRPr="00BE6C3D">
              <w:rPr>
                <w:rFonts w:ascii="Times New Roman" w:eastAsia="Times New Roman" w:hAnsi="Times New Roman"/>
                <w:b/>
                <w:bCs/>
              </w:rPr>
              <w:t>Description of Assets</w:t>
            </w:r>
          </w:p>
        </w:tc>
        <w:tc>
          <w:tcPr>
            <w:tcW w:w="1170" w:type="dxa"/>
            <w:vAlign w:val="bottom"/>
          </w:tcPr>
          <w:p w14:paraId="34CBF6D9" w14:textId="77777777" w:rsidR="00C3558C" w:rsidRPr="00BE6C3D" w:rsidRDefault="00C3558C" w:rsidP="00042323">
            <w:pPr>
              <w:spacing w:after="0" w:line="240" w:lineRule="auto"/>
              <w:jc w:val="center"/>
              <w:rPr>
                <w:rFonts w:ascii="Times New Roman" w:eastAsia="Times New Roman" w:hAnsi="Times New Roman"/>
                <w:b/>
                <w:bCs/>
              </w:rPr>
            </w:pPr>
            <w:r w:rsidRPr="00BE6C3D">
              <w:rPr>
                <w:rFonts w:ascii="Times New Roman" w:eastAsia="Times New Roman" w:hAnsi="Times New Roman"/>
                <w:b/>
                <w:bCs/>
              </w:rPr>
              <w:t>Custodial Area #</w:t>
            </w:r>
          </w:p>
        </w:tc>
        <w:tc>
          <w:tcPr>
            <w:tcW w:w="1170" w:type="dxa"/>
            <w:tcMar>
              <w:top w:w="15" w:type="dxa"/>
              <w:left w:w="15" w:type="dxa"/>
              <w:bottom w:w="0" w:type="dxa"/>
              <w:right w:w="15" w:type="dxa"/>
            </w:tcMar>
            <w:vAlign w:val="bottom"/>
          </w:tcPr>
          <w:p w14:paraId="0FC9BD6C" w14:textId="77777777" w:rsidR="00C3558C" w:rsidRPr="00BE6C3D" w:rsidRDefault="00C3558C" w:rsidP="00042323">
            <w:pPr>
              <w:spacing w:after="0" w:line="240" w:lineRule="auto"/>
              <w:jc w:val="center"/>
              <w:rPr>
                <w:rFonts w:ascii="Times New Roman" w:eastAsia="Times New Roman" w:hAnsi="Times New Roman"/>
                <w:b/>
                <w:bCs/>
              </w:rPr>
            </w:pPr>
            <w:r w:rsidRPr="00BE6C3D">
              <w:rPr>
                <w:rFonts w:ascii="Times New Roman" w:eastAsia="Times New Roman" w:hAnsi="Times New Roman"/>
                <w:b/>
                <w:bCs/>
              </w:rPr>
              <w:t>Quantity of</w:t>
            </w:r>
          </w:p>
          <w:p w14:paraId="4974A2DD" w14:textId="77777777" w:rsidR="00C3558C" w:rsidRPr="00BE6C3D" w:rsidRDefault="00C3558C" w:rsidP="00042323">
            <w:pPr>
              <w:spacing w:after="0" w:line="240" w:lineRule="auto"/>
              <w:jc w:val="center"/>
              <w:rPr>
                <w:rFonts w:ascii="Times New Roman" w:eastAsia="Times New Roman" w:hAnsi="Times New Roman"/>
                <w:b/>
                <w:bCs/>
              </w:rPr>
            </w:pPr>
            <w:r w:rsidRPr="00BE6C3D">
              <w:rPr>
                <w:rFonts w:ascii="Times New Roman" w:eastAsia="Times New Roman" w:hAnsi="Times New Roman"/>
                <w:b/>
                <w:bCs/>
              </w:rPr>
              <w:t>Items Held</w:t>
            </w:r>
          </w:p>
          <w:p w14:paraId="1A98CED4" w14:textId="307799A4" w:rsidR="00C3558C" w:rsidRPr="00BE6C3D" w:rsidRDefault="0077131D" w:rsidP="0077131D">
            <w:pPr>
              <w:spacing w:after="0" w:line="240" w:lineRule="auto"/>
              <w:jc w:val="center"/>
              <w:rPr>
                <w:rFonts w:ascii="Times New Roman" w:eastAsia="Arial Unicode MS" w:hAnsi="Times New Roman"/>
                <w:b/>
                <w:bCs/>
              </w:rPr>
            </w:pPr>
            <w:r>
              <w:rPr>
                <w:rFonts w:ascii="Times New Roman" w:eastAsia="Times New Roman" w:hAnsi="Times New Roman"/>
                <w:b/>
                <w:bCs/>
              </w:rPr>
              <w:t>10</w:t>
            </w:r>
            <w:r w:rsidR="00C3558C" w:rsidRPr="00BE6C3D">
              <w:rPr>
                <w:rFonts w:ascii="Times New Roman" w:eastAsia="Times New Roman" w:hAnsi="Times New Roman"/>
                <w:b/>
                <w:bCs/>
              </w:rPr>
              <w:t>/</w:t>
            </w:r>
            <w:r>
              <w:rPr>
                <w:rFonts w:ascii="Times New Roman" w:eastAsia="Times New Roman" w:hAnsi="Times New Roman"/>
                <w:b/>
                <w:bCs/>
              </w:rPr>
              <w:t>01</w:t>
            </w:r>
            <w:r w:rsidR="00C3558C" w:rsidRPr="00BE6C3D">
              <w:rPr>
                <w:rFonts w:ascii="Times New Roman" w:eastAsia="Times New Roman" w:hAnsi="Times New Roman"/>
                <w:b/>
                <w:bCs/>
              </w:rPr>
              <w:t>/</w:t>
            </w:r>
            <w:r w:rsidR="0020767F">
              <w:rPr>
                <w:rFonts w:ascii="Times New Roman" w:eastAsia="Times New Roman" w:hAnsi="Times New Roman"/>
                <w:b/>
                <w:bCs/>
              </w:rPr>
              <w:t>20</w:t>
            </w:r>
            <w:r w:rsidR="000A77EA">
              <w:rPr>
                <w:rFonts w:ascii="Times New Roman" w:eastAsia="Times New Roman" w:hAnsi="Times New Roman"/>
                <w:b/>
                <w:bCs/>
              </w:rPr>
              <w:t>20</w:t>
            </w:r>
          </w:p>
        </w:tc>
        <w:tc>
          <w:tcPr>
            <w:tcW w:w="1053" w:type="dxa"/>
            <w:tcMar>
              <w:top w:w="15" w:type="dxa"/>
              <w:left w:w="15" w:type="dxa"/>
              <w:bottom w:w="0" w:type="dxa"/>
              <w:right w:w="15" w:type="dxa"/>
            </w:tcMar>
            <w:vAlign w:val="bottom"/>
          </w:tcPr>
          <w:p w14:paraId="73436CFC" w14:textId="774DFCF2" w:rsidR="00C3558C" w:rsidRPr="00BE6C3D" w:rsidRDefault="00AF165A" w:rsidP="00221020">
            <w:pPr>
              <w:spacing w:after="0" w:line="240" w:lineRule="auto"/>
              <w:jc w:val="center"/>
              <w:rPr>
                <w:rFonts w:ascii="Times New Roman" w:eastAsia="Arial Unicode MS" w:hAnsi="Times New Roman"/>
                <w:b/>
                <w:bCs/>
              </w:rPr>
            </w:pPr>
            <w:r>
              <w:rPr>
                <w:rFonts w:ascii="Times New Roman" w:eastAsia="Times New Roman" w:hAnsi="Times New Roman"/>
                <w:b/>
                <w:bCs/>
              </w:rPr>
              <w:t>FY 202</w:t>
            </w:r>
            <w:r w:rsidR="000A77EA">
              <w:rPr>
                <w:rFonts w:ascii="Times New Roman" w:eastAsia="Times New Roman" w:hAnsi="Times New Roman"/>
                <w:b/>
                <w:bCs/>
              </w:rPr>
              <w:t>1</w:t>
            </w:r>
            <w:r w:rsidR="00C3558C" w:rsidRPr="00BE6C3D">
              <w:rPr>
                <w:rFonts w:ascii="Times New Roman" w:eastAsia="Times New Roman" w:hAnsi="Times New Roman"/>
                <w:b/>
                <w:bCs/>
              </w:rPr>
              <w:t xml:space="preserve"> Additions</w:t>
            </w:r>
          </w:p>
        </w:tc>
        <w:tc>
          <w:tcPr>
            <w:tcW w:w="1281" w:type="dxa"/>
            <w:tcMar>
              <w:top w:w="15" w:type="dxa"/>
              <w:left w:w="15" w:type="dxa"/>
              <w:bottom w:w="0" w:type="dxa"/>
              <w:right w:w="15" w:type="dxa"/>
            </w:tcMar>
            <w:vAlign w:val="bottom"/>
          </w:tcPr>
          <w:p w14:paraId="7CB8F4CE" w14:textId="05EDBDFD" w:rsidR="00C3558C" w:rsidRPr="00BE6C3D" w:rsidRDefault="00AF165A" w:rsidP="00221020">
            <w:pPr>
              <w:spacing w:after="0" w:line="240" w:lineRule="auto"/>
              <w:jc w:val="center"/>
              <w:rPr>
                <w:rFonts w:ascii="Times New Roman" w:eastAsia="Arial Unicode MS" w:hAnsi="Times New Roman"/>
                <w:b/>
                <w:bCs/>
              </w:rPr>
            </w:pPr>
            <w:r>
              <w:rPr>
                <w:rFonts w:ascii="Times New Roman" w:eastAsia="Times New Roman" w:hAnsi="Times New Roman"/>
                <w:b/>
                <w:bCs/>
              </w:rPr>
              <w:t>FY 202</w:t>
            </w:r>
            <w:r w:rsidR="000A77EA">
              <w:rPr>
                <w:rFonts w:ascii="Times New Roman" w:eastAsia="Times New Roman" w:hAnsi="Times New Roman"/>
                <w:b/>
                <w:bCs/>
              </w:rPr>
              <w:t>1</w:t>
            </w:r>
            <w:r>
              <w:rPr>
                <w:rFonts w:ascii="Times New Roman" w:eastAsia="Times New Roman" w:hAnsi="Times New Roman"/>
                <w:b/>
                <w:bCs/>
              </w:rPr>
              <w:t xml:space="preserve"> </w:t>
            </w:r>
            <w:r w:rsidR="00C3558C" w:rsidRPr="00BE6C3D">
              <w:rPr>
                <w:rFonts w:ascii="Times New Roman" w:eastAsia="Times New Roman" w:hAnsi="Times New Roman"/>
                <w:b/>
                <w:bCs/>
              </w:rPr>
              <w:t>Withdrawals</w:t>
            </w:r>
          </w:p>
        </w:tc>
        <w:tc>
          <w:tcPr>
            <w:tcW w:w="1266" w:type="dxa"/>
            <w:tcMar>
              <w:top w:w="15" w:type="dxa"/>
              <w:left w:w="15" w:type="dxa"/>
              <w:bottom w:w="0" w:type="dxa"/>
              <w:right w:w="15" w:type="dxa"/>
            </w:tcMar>
            <w:vAlign w:val="bottom"/>
          </w:tcPr>
          <w:p w14:paraId="5E948D60" w14:textId="77777777" w:rsidR="00C3558C" w:rsidRPr="00BE6C3D" w:rsidRDefault="00C3558C" w:rsidP="00042323">
            <w:pPr>
              <w:spacing w:after="0" w:line="240" w:lineRule="auto"/>
              <w:jc w:val="center"/>
              <w:rPr>
                <w:rFonts w:ascii="Times New Roman" w:eastAsia="Times New Roman" w:hAnsi="Times New Roman"/>
                <w:b/>
                <w:bCs/>
              </w:rPr>
            </w:pPr>
            <w:r w:rsidRPr="00BE6C3D">
              <w:rPr>
                <w:rFonts w:ascii="Times New Roman" w:eastAsia="Times New Roman" w:hAnsi="Times New Roman"/>
                <w:b/>
                <w:bCs/>
              </w:rPr>
              <w:t>Quantity of</w:t>
            </w:r>
          </w:p>
          <w:p w14:paraId="04009689" w14:textId="77777777" w:rsidR="00C3558C" w:rsidRPr="00BE6C3D" w:rsidRDefault="00C3558C" w:rsidP="00042323">
            <w:pPr>
              <w:spacing w:after="0" w:line="240" w:lineRule="auto"/>
              <w:jc w:val="center"/>
              <w:rPr>
                <w:rFonts w:ascii="Times New Roman" w:eastAsia="Times New Roman" w:hAnsi="Times New Roman"/>
                <w:b/>
                <w:bCs/>
              </w:rPr>
            </w:pPr>
            <w:r w:rsidRPr="00BE6C3D">
              <w:rPr>
                <w:rFonts w:ascii="Times New Roman" w:eastAsia="Times New Roman" w:hAnsi="Times New Roman"/>
                <w:b/>
                <w:bCs/>
              </w:rPr>
              <w:t>Items Held</w:t>
            </w:r>
          </w:p>
          <w:p w14:paraId="259BC682" w14:textId="2E07E0C3" w:rsidR="00C3558C" w:rsidRPr="00BE6C3D" w:rsidRDefault="000A77EA" w:rsidP="00C04F9D">
            <w:pPr>
              <w:spacing w:after="0" w:line="240" w:lineRule="auto"/>
              <w:jc w:val="center"/>
              <w:rPr>
                <w:rFonts w:ascii="Times New Roman" w:eastAsia="Arial Unicode MS" w:hAnsi="Times New Roman"/>
                <w:b/>
                <w:bCs/>
              </w:rPr>
            </w:pPr>
            <w:r>
              <w:rPr>
                <w:rFonts w:ascii="Times New Roman" w:eastAsia="Times New Roman" w:hAnsi="Times New Roman"/>
                <w:b/>
                <w:bCs/>
              </w:rPr>
              <w:t>12</w:t>
            </w:r>
            <w:r w:rsidR="00A54EF6">
              <w:rPr>
                <w:rFonts w:ascii="Times New Roman" w:eastAsia="Times New Roman" w:hAnsi="Times New Roman"/>
                <w:b/>
                <w:bCs/>
              </w:rPr>
              <w:t>/3</w:t>
            </w:r>
            <w:r>
              <w:rPr>
                <w:rFonts w:ascii="Times New Roman" w:eastAsia="Times New Roman" w:hAnsi="Times New Roman"/>
                <w:b/>
                <w:bCs/>
              </w:rPr>
              <w:t>1</w:t>
            </w:r>
            <w:r w:rsidR="00A54EF6">
              <w:rPr>
                <w:rFonts w:ascii="Times New Roman" w:eastAsia="Times New Roman" w:hAnsi="Times New Roman"/>
                <w:b/>
                <w:bCs/>
              </w:rPr>
              <w:t>/20</w:t>
            </w:r>
            <w:r w:rsidR="00312628">
              <w:rPr>
                <w:rFonts w:ascii="Times New Roman" w:eastAsia="Times New Roman" w:hAnsi="Times New Roman"/>
                <w:b/>
                <w:bCs/>
              </w:rPr>
              <w:t>20</w:t>
            </w:r>
          </w:p>
        </w:tc>
      </w:tr>
      <w:tr w:rsidR="004E2285" w:rsidRPr="00BE6C3D" w14:paraId="25A185B9" w14:textId="77777777" w:rsidTr="00FB56B8">
        <w:trPr>
          <w:trHeight w:val="278"/>
        </w:trPr>
        <w:tc>
          <w:tcPr>
            <w:tcW w:w="10435" w:type="dxa"/>
            <w:gridSpan w:val="8"/>
            <w:tcMar>
              <w:top w:w="15" w:type="dxa"/>
              <w:left w:w="15" w:type="dxa"/>
              <w:bottom w:w="0" w:type="dxa"/>
              <w:right w:w="15" w:type="dxa"/>
            </w:tcMar>
            <w:vAlign w:val="center"/>
          </w:tcPr>
          <w:p w14:paraId="048CB8FD" w14:textId="77777777" w:rsidR="004E2285" w:rsidRPr="00C24650" w:rsidRDefault="004E2285" w:rsidP="00BB43CA">
            <w:pPr>
              <w:spacing w:after="0" w:line="240" w:lineRule="auto"/>
              <w:rPr>
                <w:rFonts w:ascii="Times New Roman" w:eastAsia="Times New Roman" w:hAnsi="Times New Roman"/>
              </w:rPr>
            </w:pPr>
            <w:r>
              <w:rPr>
                <w:rFonts w:ascii="Times New Roman" w:eastAsia="Times New Roman" w:hAnsi="Times New Roman"/>
              </w:rPr>
              <w:t>NOAA Central Library</w:t>
            </w:r>
          </w:p>
        </w:tc>
      </w:tr>
      <w:tr w:rsidR="004171C5" w:rsidRPr="00550E70" w14:paraId="47794E5A" w14:textId="77777777" w:rsidTr="006A2C47">
        <w:trPr>
          <w:trHeight w:val="55"/>
        </w:trPr>
        <w:tc>
          <w:tcPr>
            <w:tcW w:w="185" w:type="dxa"/>
            <w:tcMar>
              <w:top w:w="15" w:type="dxa"/>
              <w:left w:w="15" w:type="dxa"/>
              <w:bottom w:w="0" w:type="dxa"/>
              <w:right w:w="15" w:type="dxa"/>
            </w:tcMar>
            <w:vAlign w:val="center"/>
          </w:tcPr>
          <w:p w14:paraId="65120C62" w14:textId="77777777" w:rsidR="004171C5" w:rsidRPr="00BE6C3D" w:rsidRDefault="004171C5" w:rsidP="004171C5">
            <w:pPr>
              <w:spacing w:after="0" w:line="240" w:lineRule="auto"/>
              <w:rPr>
                <w:rFonts w:ascii="Times New Roman" w:eastAsia="Times New Roman" w:hAnsi="Times New Roman"/>
              </w:rPr>
            </w:pPr>
          </w:p>
        </w:tc>
        <w:tc>
          <w:tcPr>
            <w:tcW w:w="1790" w:type="dxa"/>
            <w:vAlign w:val="center"/>
          </w:tcPr>
          <w:p w14:paraId="0071F16F" w14:textId="77777777" w:rsidR="004171C5" w:rsidRPr="00BE6C3D" w:rsidRDefault="004171C5" w:rsidP="00BB43CA">
            <w:pPr>
              <w:spacing w:after="0" w:line="240" w:lineRule="auto"/>
              <w:rPr>
                <w:rFonts w:ascii="Times New Roman" w:eastAsia="Times New Roman" w:hAnsi="Times New Roman"/>
              </w:rPr>
            </w:pPr>
            <w:r>
              <w:rPr>
                <w:rFonts w:ascii="Times New Roman" w:eastAsia="Times New Roman" w:hAnsi="Times New Roman"/>
              </w:rPr>
              <w:t xml:space="preserve">Collections of </w:t>
            </w:r>
            <w:r w:rsidRPr="00BE6C3D">
              <w:rPr>
                <w:rFonts w:ascii="Times New Roman" w:eastAsia="Times New Roman" w:hAnsi="Times New Roman"/>
              </w:rPr>
              <w:t>Photo</w:t>
            </w:r>
            <w:r>
              <w:rPr>
                <w:rFonts w:ascii="Times New Roman" w:eastAsia="Times New Roman" w:hAnsi="Times New Roman"/>
              </w:rPr>
              <w:t xml:space="preserve">graphs and </w:t>
            </w:r>
            <w:r w:rsidRPr="00BE6C3D">
              <w:rPr>
                <w:rFonts w:ascii="Times New Roman" w:eastAsia="Times New Roman" w:hAnsi="Times New Roman"/>
              </w:rPr>
              <w:t>Motion Pictures</w:t>
            </w:r>
          </w:p>
        </w:tc>
        <w:tc>
          <w:tcPr>
            <w:tcW w:w="2520" w:type="dxa"/>
            <w:tcMar>
              <w:top w:w="15" w:type="dxa"/>
              <w:left w:w="15" w:type="dxa"/>
              <w:bottom w:w="0" w:type="dxa"/>
              <w:right w:w="15" w:type="dxa"/>
            </w:tcMar>
            <w:vAlign w:val="center"/>
          </w:tcPr>
          <w:p w14:paraId="2E47DD08" w14:textId="77777777" w:rsidR="004171C5" w:rsidRPr="00BE6C3D" w:rsidRDefault="004171C5" w:rsidP="004171C5">
            <w:pPr>
              <w:spacing w:after="0" w:line="240" w:lineRule="auto"/>
              <w:rPr>
                <w:rFonts w:ascii="Times New Roman" w:eastAsia="Arial Unicode MS" w:hAnsi="Times New Roman"/>
              </w:rPr>
            </w:pPr>
            <w:r w:rsidRPr="00BE6C3D">
              <w:rPr>
                <w:rFonts w:ascii="Times New Roman" w:eastAsia="Times New Roman" w:hAnsi="Times New Roman"/>
              </w:rPr>
              <w:t>Photographs and motion pictures</w:t>
            </w:r>
          </w:p>
        </w:tc>
        <w:tc>
          <w:tcPr>
            <w:tcW w:w="1170" w:type="dxa"/>
            <w:vAlign w:val="center"/>
          </w:tcPr>
          <w:p w14:paraId="7580EE23" w14:textId="0032B33A" w:rsidR="001D0F05" w:rsidRPr="001D0F05" w:rsidRDefault="001D0F05" w:rsidP="006A2C47">
            <w:pPr>
              <w:spacing w:after="0" w:line="240" w:lineRule="auto"/>
              <w:jc w:val="center"/>
              <w:rPr>
                <w:rFonts w:ascii="Times New Roman" w:eastAsia="Arial Unicode MS" w:hAnsi="Times New Roman"/>
              </w:rPr>
            </w:pPr>
            <w:r w:rsidRPr="001D0F05">
              <w:rPr>
                <w:rFonts w:ascii="Times New Roman" w:eastAsia="Arial Unicode MS" w:hAnsi="Times New Roman"/>
              </w:rPr>
              <w:t>54508N000</w:t>
            </w:r>
          </w:p>
        </w:tc>
        <w:tc>
          <w:tcPr>
            <w:tcW w:w="1170" w:type="dxa"/>
            <w:noWrap/>
            <w:tcMar>
              <w:top w:w="15" w:type="dxa"/>
              <w:left w:w="15" w:type="dxa"/>
              <w:bottom w:w="0" w:type="dxa"/>
              <w:right w:w="15" w:type="dxa"/>
            </w:tcMar>
            <w:vAlign w:val="center"/>
          </w:tcPr>
          <w:p w14:paraId="6E3CA9E6" w14:textId="77777777" w:rsidR="004171C5" w:rsidRPr="001D0F05" w:rsidRDefault="004171C5" w:rsidP="004171C5">
            <w:pPr>
              <w:spacing w:after="0" w:line="240" w:lineRule="auto"/>
              <w:jc w:val="center"/>
              <w:rPr>
                <w:rFonts w:ascii="Times New Roman" w:eastAsia="Arial Unicode MS" w:hAnsi="Times New Roman"/>
              </w:rPr>
            </w:pPr>
            <w:r w:rsidRPr="001D0F05">
              <w:rPr>
                <w:rFonts w:ascii="Times New Roman" w:eastAsia="Arial Unicode MS" w:hAnsi="Times New Roman"/>
              </w:rPr>
              <w:t>1</w:t>
            </w:r>
          </w:p>
        </w:tc>
        <w:tc>
          <w:tcPr>
            <w:tcW w:w="1053" w:type="dxa"/>
            <w:shd w:val="clear" w:color="auto" w:fill="auto"/>
            <w:noWrap/>
            <w:tcMar>
              <w:top w:w="15" w:type="dxa"/>
              <w:left w:w="15" w:type="dxa"/>
              <w:bottom w:w="0" w:type="dxa"/>
              <w:right w:w="15" w:type="dxa"/>
            </w:tcMar>
            <w:vAlign w:val="center"/>
          </w:tcPr>
          <w:p w14:paraId="284EE00E" w14:textId="77777777" w:rsidR="004171C5" w:rsidRPr="008646F0" w:rsidRDefault="004171C5" w:rsidP="004171C5">
            <w:pPr>
              <w:spacing w:after="0" w:line="240" w:lineRule="auto"/>
              <w:jc w:val="center"/>
              <w:rPr>
                <w:rFonts w:ascii="Times New Roman" w:eastAsia="Times New Roman" w:hAnsi="Times New Roman"/>
                <w:highlight w:val="red"/>
              </w:rPr>
            </w:pPr>
            <w:r w:rsidRPr="008646F0">
              <w:rPr>
                <w:rFonts w:ascii="Times New Roman" w:eastAsia="Times New Roman" w:hAnsi="Times New Roman"/>
                <w:highlight w:val="red"/>
              </w:rPr>
              <w:t>N/A</w:t>
            </w:r>
            <w:r w:rsidRPr="008646F0">
              <w:rPr>
                <w:rFonts w:ascii="Times New Roman" w:eastAsia="Times New Roman" w:hAnsi="Times New Roman"/>
                <w:highlight w:val="red"/>
                <w:vertAlign w:val="superscript"/>
              </w:rPr>
              <w:t>1</w:t>
            </w:r>
          </w:p>
        </w:tc>
        <w:tc>
          <w:tcPr>
            <w:tcW w:w="1281" w:type="dxa"/>
            <w:shd w:val="clear" w:color="auto" w:fill="auto"/>
            <w:noWrap/>
            <w:tcMar>
              <w:top w:w="15" w:type="dxa"/>
              <w:left w:w="15" w:type="dxa"/>
              <w:bottom w:w="0" w:type="dxa"/>
              <w:right w:w="15" w:type="dxa"/>
            </w:tcMar>
            <w:vAlign w:val="center"/>
          </w:tcPr>
          <w:p w14:paraId="74F64A88" w14:textId="77777777" w:rsidR="004171C5" w:rsidRPr="008646F0" w:rsidRDefault="004171C5" w:rsidP="004171C5">
            <w:pPr>
              <w:spacing w:after="0" w:line="240" w:lineRule="auto"/>
              <w:jc w:val="center"/>
              <w:rPr>
                <w:rFonts w:ascii="Times New Roman" w:eastAsia="Times New Roman" w:hAnsi="Times New Roman"/>
                <w:highlight w:val="red"/>
              </w:rPr>
            </w:pPr>
            <w:r w:rsidRPr="008646F0">
              <w:rPr>
                <w:rFonts w:ascii="Times New Roman" w:eastAsia="Times New Roman" w:hAnsi="Times New Roman"/>
                <w:highlight w:val="red"/>
              </w:rPr>
              <w:t>N/A</w:t>
            </w:r>
            <w:r w:rsidRPr="008646F0">
              <w:rPr>
                <w:rFonts w:ascii="Times New Roman" w:eastAsia="Times New Roman" w:hAnsi="Times New Roman"/>
                <w:highlight w:val="red"/>
                <w:vertAlign w:val="superscript"/>
              </w:rPr>
              <w:t>1</w:t>
            </w:r>
          </w:p>
        </w:tc>
        <w:tc>
          <w:tcPr>
            <w:tcW w:w="1266" w:type="dxa"/>
            <w:shd w:val="clear" w:color="auto" w:fill="auto"/>
            <w:noWrap/>
            <w:tcMar>
              <w:top w:w="15" w:type="dxa"/>
              <w:left w:w="15" w:type="dxa"/>
              <w:bottom w:w="0" w:type="dxa"/>
              <w:right w:w="15" w:type="dxa"/>
            </w:tcMar>
            <w:vAlign w:val="center"/>
          </w:tcPr>
          <w:p w14:paraId="27962E41" w14:textId="41E35A26" w:rsidR="004171C5" w:rsidRPr="008646F0" w:rsidRDefault="004D0F0B" w:rsidP="004171C5">
            <w:pPr>
              <w:spacing w:after="0" w:line="240" w:lineRule="auto"/>
              <w:jc w:val="center"/>
              <w:rPr>
                <w:rFonts w:ascii="Times New Roman" w:eastAsia="Times New Roman" w:hAnsi="Times New Roman"/>
                <w:highlight w:val="red"/>
              </w:rPr>
            </w:pPr>
            <w:r w:rsidRPr="008646F0">
              <w:rPr>
                <w:rFonts w:ascii="Times New Roman" w:eastAsia="Times New Roman" w:hAnsi="Times New Roman"/>
                <w:highlight w:val="red"/>
              </w:rPr>
              <w:t>1</w:t>
            </w:r>
          </w:p>
        </w:tc>
      </w:tr>
      <w:tr w:rsidR="004171C5" w:rsidRPr="00550E70" w14:paraId="0E407365" w14:textId="77777777" w:rsidTr="00FB56B8">
        <w:trPr>
          <w:trHeight w:val="622"/>
        </w:trPr>
        <w:tc>
          <w:tcPr>
            <w:tcW w:w="185" w:type="dxa"/>
            <w:tcMar>
              <w:top w:w="15" w:type="dxa"/>
              <w:left w:w="15" w:type="dxa"/>
              <w:bottom w:w="0" w:type="dxa"/>
              <w:right w:w="15" w:type="dxa"/>
            </w:tcMar>
            <w:vAlign w:val="center"/>
          </w:tcPr>
          <w:p w14:paraId="13BFAB43" w14:textId="77777777" w:rsidR="004171C5" w:rsidRPr="00BE6C3D" w:rsidRDefault="004171C5" w:rsidP="004171C5">
            <w:pPr>
              <w:spacing w:after="0" w:line="240" w:lineRule="auto"/>
              <w:rPr>
                <w:rFonts w:ascii="Times New Roman" w:eastAsia="Arial Unicode MS" w:hAnsi="Times New Roman"/>
              </w:rPr>
            </w:pPr>
          </w:p>
        </w:tc>
        <w:tc>
          <w:tcPr>
            <w:tcW w:w="1790" w:type="dxa"/>
            <w:vAlign w:val="center"/>
          </w:tcPr>
          <w:p w14:paraId="3B19F7A4" w14:textId="7BB769F1" w:rsidR="001D0F05" w:rsidRPr="00BE6C3D" w:rsidRDefault="004171C5" w:rsidP="00FA3D24">
            <w:pPr>
              <w:spacing w:after="0" w:line="240" w:lineRule="auto"/>
              <w:rPr>
                <w:rFonts w:ascii="Times New Roman" w:eastAsia="Arial Unicode MS" w:hAnsi="Times New Roman"/>
              </w:rPr>
            </w:pPr>
            <w:r w:rsidRPr="00BE6C3D">
              <w:rPr>
                <w:rFonts w:ascii="Times New Roman" w:eastAsia="Times New Roman" w:hAnsi="Times New Roman"/>
              </w:rPr>
              <w:t>Other</w:t>
            </w:r>
            <w:r w:rsidR="001D0F05">
              <w:rPr>
                <w:rFonts w:ascii="Times New Roman" w:eastAsia="Times New Roman" w:hAnsi="Times New Roman"/>
              </w:rPr>
              <w:t xml:space="preserve"> items at NOAA Cent</w:t>
            </w:r>
            <w:r w:rsidR="004F6DE6">
              <w:rPr>
                <w:rFonts w:ascii="Times New Roman" w:eastAsia="Times New Roman" w:hAnsi="Times New Roman"/>
              </w:rPr>
              <w:t xml:space="preserve">ral Library </w:t>
            </w:r>
          </w:p>
        </w:tc>
        <w:tc>
          <w:tcPr>
            <w:tcW w:w="2520" w:type="dxa"/>
            <w:tcMar>
              <w:top w:w="15" w:type="dxa"/>
              <w:left w:w="15" w:type="dxa"/>
              <w:bottom w:w="0" w:type="dxa"/>
              <w:right w:w="15" w:type="dxa"/>
            </w:tcMar>
            <w:vAlign w:val="center"/>
          </w:tcPr>
          <w:p w14:paraId="6E3E214C" w14:textId="77777777" w:rsidR="004171C5" w:rsidRPr="00BE6C3D" w:rsidRDefault="004171C5" w:rsidP="004171C5">
            <w:pPr>
              <w:spacing w:after="0" w:line="240" w:lineRule="auto"/>
              <w:rPr>
                <w:rFonts w:ascii="Times New Roman" w:eastAsia="Arial Unicode MS" w:hAnsi="Times New Roman"/>
              </w:rPr>
            </w:pPr>
            <w:r w:rsidRPr="00BE6C3D">
              <w:rPr>
                <w:rFonts w:ascii="Times New Roman" w:eastAsia="Times New Roman" w:hAnsi="Times New Roman"/>
              </w:rPr>
              <w:t>Artifacts, documents, and other items</w:t>
            </w:r>
          </w:p>
        </w:tc>
        <w:tc>
          <w:tcPr>
            <w:tcW w:w="1170" w:type="dxa"/>
            <w:vAlign w:val="center"/>
          </w:tcPr>
          <w:p w14:paraId="60904ED4" w14:textId="77777777" w:rsidR="004171C5" w:rsidRPr="001D0F05" w:rsidRDefault="001D0F05" w:rsidP="000A7A40">
            <w:pPr>
              <w:spacing w:after="0" w:line="240" w:lineRule="auto"/>
              <w:jc w:val="center"/>
              <w:rPr>
                <w:rFonts w:ascii="Times New Roman" w:eastAsia="Arial Unicode MS" w:hAnsi="Times New Roman"/>
              </w:rPr>
            </w:pPr>
            <w:r w:rsidRPr="004F6DE6">
              <w:rPr>
                <w:rFonts w:ascii="Times New Roman" w:eastAsia="Arial Unicode MS" w:hAnsi="Times New Roman"/>
              </w:rPr>
              <w:t>54508N000</w:t>
            </w:r>
          </w:p>
        </w:tc>
        <w:tc>
          <w:tcPr>
            <w:tcW w:w="1170" w:type="dxa"/>
            <w:noWrap/>
            <w:tcMar>
              <w:top w:w="15" w:type="dxa"/>
              <w:left w:w="15" w:type="dxa"/>
              <w:bottom w:w="0" w:type="dxa"/>
              <w:right w:w="15" w:type="dxa"/>
            </w:tcMar>
            <w:vAlign w:val="center"/>
          </w:tcPr>
          <w:p w14:paraId="1B2CFC5A" w14:textId="167909A0" w:rsidR="004171C5" w:rsidRPr="001D0F05" w:rsidRDefault="004437A8" w:rsidP="004171C5">
            <w:pPr>
              <w:spacing w:after="0" w:line="240" w:lineRule="auto"/>
              <w:jc w:val="center"/>
              <w:rPr>
                <w:rFonts w:ascii="Times New Roman" w:eastAsia="Arial Unicode MS" w:hAnsi="Times New Roman"/>
              </w:rPr>
            </w:pPr>
            <w:r>
              <w:rPr>
                <w:rFonts w:ascii="Times New Roman" w:eastAsia="Arial Unicode MS" w:hAnsi="Times New Roman"/>
              </w:rPr>
              <w:t>2</w:t>
            </w:r>
            <w:r w:rsidR="000A77EA">
              <w:rPr>
                <w:rFonts w:ascii="Times New Roman" w:eastAsia="Arial Unicode MS" w:hAnsi="Times New Roman"/>
              </w:rPr>
              <w:t>8</w:t>
            </w:r>
          </w:p>
        </w:tc>
        <w:tc>
          <w:tcPr>
            <w:tcW w:w="1053" w:type="dxa"/>
            <w:shd w:val="clear" w:color="auto" w:fill="auto"/>
            <w:noWrap/>
            <w:tcMar>
              <w:top w:w="15" w:type="dxa"/>
              <w:left w:w="15" w:type="dxa"/>
              <w:bottom w:w="0" w:type="dxa"/>
              <w:right w:w="15" w:type="dxa"/>
            </w:tcMar>
            <w:vAlign w:val="center"/>
          </w:tcPr>
          <w:p w14:paraId="27D9BA4D" w14:textId="77777777" w:rsidR="004171C5" w:rsidRPr="008646F0" w:rsidRDefault="004437A8" w:rsidP="000A7A40">
            <w:pPr>
              <w:spacing w:after="0" w:line="240" w:lineRule="auto"/>
              <w:jc w:val="center"/>
              <w:rPr>
                <w:rFonts w:ascii="Times New Roman" w:eastAsia="Times New Roman" w:hAnsi="Times New Roman"/>
                <w:highlight w:val="red"/>
              </w:rPr>
            </w:pPr>
            <w:r w:rsidRPr="008646F0">
              <w:rPr>
                <w:rFonts w:ascii="Times New Roman" w:eastAsia="Times New Roman" w:hAnsi="Times New Roman"/>
                <w:highlight w:val="red"/>
              </w:rPr>
              <w:t>0</w:t>
            </w:r>
          </w:p>
        </w:tc>
        <w:tc>
          <w:tcPr>
            <w:tcW w:w="1281" w:type="dxa"/>
            <w:shd w:val="clear" w:color="auto" w:fill="auto"/>
            <w:noWrap/>
            <w:tcMar>
              <w:top w:w="15" w:type="dxa"/>
              <w:left w:w="15" w:type="dxa"/>
              <w:bottom w:w="0" w:type="dxa"/>
              <w:right w:w="15" w:type="dxa"/>
            </w:tcMar>
            <w:vAlign w:val="center"/>
          </w:tcPr>
          <w:p w14:paraId="66CCD8E3" w14:textId="3C72ECC2" w:rsidR="004171C5" w:rsidRPr="008646F0" w:rsidRDefault="000A77EA" w:rsidP="004171C5">
            <w:pPr>
              <w:spacing w:after="0" w:line="240" w:lineRule="auto"/>
              <w:jc w:val="center"/>
              <w:rPr>
                <w:rFonts w:ascii="Times New Roman" w:eastAsia="Times New Roman" w:hAnsi="Times New Roman"/>
                <w:highlight w:val="red"/>
              </w:rPr>
            </w:pPr>
            <w:r>
              <w:rPr>
                <w:rFonts w:ascii="Times New Roman" w:eastAsia="Times New Roman" w:hAnsi="Times New Roman"/>
                <w:highlight w:val="red"/>
              </w:rPr>
              <w:t>0</w:t>
            </w:r>
          </w:p>
        </w:tc>
        <w:tc>
          <w:tcPr>
            <w:tcW w:w="1266" w:type="dxa"/>
            <w:shd w:val="clear" w:color="auto" w:fill="auto"/>
            <w:noWrap/>
            <w:tcMar>
              <w:top w:w="15" w:type="dxa"/>
              <w:left w:w="15" w:type="dxa"/>
              <w:bottom w:w="0" w:type="dxa"/>
              <w:right w:w="15" w:type="dxa"/>
            </w:tcMar>
            <w:vAlign w:val="center"/>
          </w:tcPr>
          <w:p w14:paraId="5BA97027" w14:textId="396BD33C" w:rsidR="004171C5" w:rsidRPr="008646F0" w:rsidRDefault="000A7A40" w:rsidP="004171C5">
            <w:pPr>
              <w:spacing w:after="0" w:line="240" w:lineRule="auto"/>
              <w:jc w:val="center"/>
              <w:rPr>
                <w:rFonts w:ascii="Times New Roman" w:eastAsia="Times New Roman" w:hAnsi="Times New Roman"/>
                <w:highlight w:val="red"/>
              </w:rPr>
            </w:pPr>
            <w:r w:rsidRPr="008646F0">
              <w:rPr>
                <w:rFonts w:ascii="Times New Roman" w:eastAsia="Times New Roman" w:hAnsi="Times New Roman"/>
                <w:highlight w:val="red"/>
              </w:rPr>
              <w:t>2</w:t>
            </w:r>
            <w:r w:rsidR="004D0F0B" w:rsidRPr="008646F0">
              <w:rPr>
                <w:rFonts w:ascii="Times New Roman" w:eastAsia="Times New Roman" w:hAnsi="Times New Roman"/>
                <w:highlight w:val="red"/>
              </w:rPr>
              <w:t>8</w:t>
            </w:r>
          </w:p>
        </w:tc>
      </w:tr>
      <w:tr w:rsidR="004171C5" w:rsidRPr="00550E70" w14:paraId="1C1C58C8" w14:textId="77777777" w:rsidTr="00FB56B8">
        <w:trPr>
          <w:trHeight w:val="1020"/>
        </w:trPr>
        <w:tc>
          <w:tcPr>
            <w:tcW w:w="1975" w:type="dxa"/>
            <w:gridSpan w:val="2"/>
            <w:noWrap/>
            <w:tcMar>
              <w:top w:w="15" w:type="dxa"/>
              <w:left w:w="15" w:type="dxa"/>
              <w:bottom w:w="0" w:type="dxa"/>
              <w:right w:w="15" w:type="dxa"/>
            </w:tcMar>
            <w:vAlign w:val="center"/>
          </w:tcPr>
          <w:p w14:paraId="59979A65" w14:textId="77777777" w:rsidR="004171C5" w:rsidRPr="00BE6C3D" w:rsidRDefault="004171C5" w:rsidP="004171C5">
            <w:pPr>
              <w:spacing w:after="0" w:line="240" w:lineRule="auto"/>
              <w:rPr>
                <w:rFonts w:ascii="Times New Roman" w:eastAsia="Times New Roman" w:hAnsi="Times New Roman"/>
              </w:rPr>
            </w:pPr>
            <w:r w:rsidRPr="00BE6C3D">
              <w:rPr>
                <w:rFonts w:ascii="Times New Roman" w:eastAsia="Times New Roman" w:hAnsi="Times New Roman"/>
              </w:rPr>
              <w:t>National Ocean Service – Thunder Bay Sanctuary Research Collection</w:t>
            </w:r>
          </w:p>
        </w:tc>
        <w:tc>
          <w:tcPr>
            <w:tcW w:w="2520" w:type="dxa"/>
            <w:tcMar>
              <w:top w:w="15" w:type="dxa"/>
              <w:left w:w="15" w:type="dxa"/>
              <w:bottom w:w="0" w:type="dxa"/>
              <w:right w:w="15" w:type="dxa"/>
            </w:tcMar>
            <w:vAlign w:val="center"/>
          </w:tcPr>
          <w:p w14:paraId="280AF114" w14:textId="77777777" w:rsidR="004171C5" w:rsidRPr="00BE6C3D" w:rsidRDefault="004171C5" w:rsidP="004171C5">
            <w:pPr>
              <w:spacing w:after="0" w:line="240" w:lineRule="auto"/>
              <w:rPr>
                <w:rFonts w:ascii="Times New Roman" w:eastAsia="Times New Roman" w:hAnsi="Times New Roman"/>
              </w:rPr>
            </w:pPr>
            <w:r w:rsidRPr="00BE6C3D">
              <w:rPr>
                <w:rFonts w:ascii="Times New Roman" w:eastAsia="Times New Roman" w:hAnsi="Times New Roman"/>
              </w:rPr>
              <w:t>Data cards, photograph negatives, document copies, photographs, books, and other items</w:t>
            </w:r>
          </w:p>
        </w:tc>
        <w:tc>
          <w:tcPr>
            <w:tcW w:w="1170" w:type="dxa"/>
            <w:vAlign w:val="center"/>
          </w:tcPr>
          <w:p w14:paraId="46CF64AE" w14:textId="77777777" w:rsidR="004171C5" w:rsidRPr="001D0F05" w:rsidRDefault="004171C5" w:rsidP="004171C5">
            <w:pPr>
              <w:spacing w:after="0" w:line="240" w:lineRule="auto"/>
              <w:jc w:val="center"/>
              <w:rPr>
                <w:rFonts w:ascii="Times New Roman" w:eastAsia="Times New Roman" w:hAnsi="Times New Roman"/>
              </w:rPr>
            </w:pPr>
            <w:r w:rsidRPr="001D0F05">
              <w:rPr>
                <w:rFonts w:ascii="Times New Roman" w:eastAsia="Times New Roman" w:hAnsi="Times New Roman"/>
              </w:rPr>
              <w:t>5410ZE228</w:t>
            </w:r>
          </w:p>
        </w:tc>
        <w:tc>
          <w:tcPr>
            <w:tcW w:w="1170" w:type="dxa"/>
            <w:noWrap/>
            <w:tcMar>
              <w:top w:w="15" w:type="dxa"/>
              <w:left w:w="15" w:type="dxa"/>
              <w:bottom w:w="0" w:type="dxa"/>
              <w:right w:w="15" w:type="dxa"/>
            </w:tcMar>
            <w:vAlign w:val="center"/>
          </w:tcPr>
          <w:p w14:paraId="1D564DF1" w14:textId="77777777" w:rsidR="004171C5" w:rsidRPr="001D0F05" w:rsidRDefault="004171C5" w:rsidP="004171C5">
            <w:pPr>
              <w:spacing w:after="0" w:line="240" w:lineRule="auto"/>
              <w:jc w:val="center"/>
              <w:rPr>
                <w:rFonts w:ascii="Times New Roman" w:eastAsia="Times New Roman" w:hAnsi="Times New Roman"/>
              </w:rPr>
            </w:pPr>
            <w:r w:rsidRPr="001D0F05">
              <w:rPr>
                <w:rFonts w:ascii="Times New Roman" w:eastAsia="Times New Roman" w:hAnsi="Times New Roman"/>
              </w:rPr>
              <w:t>106,254</w:t>
            </w:r>
          </w:p>
        </w:tc>
        <w:tc>
          <w:tcPr>
            <w:tcW w:w="1053" w:type="dxa"/>
            <w:shd w:val="clear" w:color="auto" w:fill="auto"/>
            <w:noWrap/>
            <w:tcMar>
              <w:top w:w="15" w:type="dxa"/>
              <w:left w:w="15" w:type="dxa"/>
              <w:bottom w:w="0" w:type="dxa"/>
              <w:right w:w="15" w:type="dxa"/>
            </w:tcMar>
            <w:vAlign w:val="center"/>
          </w:tcPr>
          <w:p w14:paraId="12F8CB27" w14:textId="77777777" w:rsidR="004171C5" w:rsidRPr="008646F0" w:rsidRDefault="004171C5" w:rsidP="004171C5">
            <w:pPr>
              <w:spacing w:after="0" w:line="240" w:lineRule="auto"/>
              <w:jc w:val="center"/>
              <w:rPr>
                <w:rFonts w:ascii="Times New Roman" w:eastAsia="Times New Roman" w:hAnsi="Times New Roman"/>
                <w:highlight w:val="red"/>
              </w:rPr>
            </w:pPr>
            <w:r w:rsidRPr="008646F0">
              <w:rPr>
                <w:rFonts w:ascii="Times New Roman" w:eastAsia="Times New Roman" w:hAnsi="Times New Roman"/>
                <w:highlight w:val="red"/>
              </w:rPr>
              <w:t>0</w:t>
            </w:r>
          </w:p>
        </w:tc>
        <w:tc>
          <w:tcPr>
            <w:tcW w:w="1281" w:type="dxa"/>
            <w:shd w:val="clear" w:color="auto" w:fill="auto"/>
            <w:noWrap/>
            <w:tcMar>
              <w:top w:w="15" w:type="dxa"/>
              <w:left w:w="15" w:type="dxa"/>
              <w:bottom w:w="0" w:type="dxa"/>
              <w:right w:w="15" w:type="dxa"/>
            </w:tcMar>
            <w:vAlign w:val="center"/>
          </w:tcPr>
          <w:p w14:paraId="6D965E46" w14:textId="77777777" w:rsidR="004171C5" w:rsidRPr="008646F0" w:rsidRDefault="004171C5" w:rsidP="004171C5">
            <w:pPr>
              <w:spacing w:after="0" w:line="240" w:lineRule="auto"/>
              <w:jc w:val="center"/>
              <w:rPr>
                <w:rFonts w:ascii="Times New Roman" w:eastAsia="Times New Roman" w:hAnsi="Times New Roman"/>
                <w:highlight w:val="red"/>
              </w:rPr>
            </w:pPr>
            <w:r w:rsidRPr="008646F0">
              <w:rPr>
                <w:rFonts w:ascii="Times New Roman" w:eastAsia="Times New Roman" w:hAnsi="Times New Roman"/>
                <w:highlight w:val="red"/>
              </w:rPr>
              <w:t>0</w:t>
            </w:r>
          </w:p>
        </w:tc>
        <w:tc>
          <w:tcPr>
            <w:tcW w:w="1266" w:type="dxa"/>
            <w:shd w:val="clear" w:color="auto" w:fill="auto"/>
            <w:noWrap/>
            <w:tcMar>
              <w:top w:w="15" w:type="dxa"/>
              <w:left w:w="15" w:type="dxa"/>
              <w:bottom w:w="0" w:type="dxa"/>
              <w:right w:w="15" w:type="dxa"/>
            </w:tcMar>
            <w:vAlign w:val="center"/>
          </w:tcPr>
          <w:p w14:paraId="3CAB8BBB" w14:textId="77777777" w:rsidR="004171C5" w:rsidRPr="008646F0" w:rsidRDefault="004171C5" w:rsidP="004171C5">
            <w:pPr>
              <w:spacing w:after="0" w:line="240" w:lineRule="auto"/>
              <w:jc w:val="center"/>
              <w:rPr>
                <w:rFonts w:ascii="Times New Roman" w:eastAsia="Times New Roman" w:hAnsi="Times New Roman"/>
                <w:highlight w:val="red"/>
              </w:rPr>
            </w:pPr>
            <w:r w:rsidRPr="008646F0">
              <w:rPr>
                <w:rFonts w:ascii="Times New Roman" w:eastAsia="Times New Roman" w:hAnsi="Times New Roman"/>
                <w:highlight w:val="red"/>
              </w:rPr>
              <w:t>106,254</w:t>
            </w:r>
          </w:p>
        </w:tc>
      </w:tr>
      <w:tr w:rsidR="00CC6AE8" w:rsidRPr="00550E70" w14:paraId="24CDAB3C" w14:textId="77777777" w:rsidTr="00FB56B8">
        <w:trPr>
          <w:trHeight w:val="433"/>
        </w:trPr>
        <w:tc>
          <w:tcPr>
            <w:tcW w:w="1975" w:type="dxa"/>
            <w:gridSpan w:val="2"/>
            <w:noWrap/>
            <w:tcMar>
              <w:top w:w="15" w:type="dxa"/>
              <w:left w:w="15" w:type="dxa"/>
              <w:bottom w:w="0" w:type="dxa"/>
              <w:right w:w="15" w:type="dxa"/>
            </w:tcMar>
            <w:vAlign w:val="center"/>
          </w:tcPr>
          <w:p w14:paraId="48904553" w14:textId="77777777" w:rsidR="00CC6AE8" w:rsidRPr="0053235E" w:rsidRDefault="00CC6AE8" w:rsidP="004171C5">
            <w:pPr>
              <w:spacing w:after="0" w:line="240" w:lineRule="auto"/>
              <w:rPr>
                <w:rFonts w:ascii="Times New Roman" w:eastAsia="Times New Roman" w:hAnsi="Times New Roman"/>
              </w:rPr>
            </w:pPr>
            <w:r w:rsidRPr="0053235E">
              <w:rPr>
                <w:rFonts w:ascii="Times New Roman" w:eastAsia="Times New Roman" w:hAnsi="Times New Roman"/>
              </w:rPr>
              <w:t>Florida Keys National Marine Sanctuary</w:t>
            </w:r>
          </w:p>
        </w:tc>
        <w:tc>
          <w:tcPr>
            <w:tcW w:w="2520" w:type="dxa"/>
            <w:tcMar>
              <w:top w:w="15" w:type="dxa"/>
              <w:left w:w="15" w:type="dxa"/>
              <w:bottom w:w="0" w:type="dxa"/>
              <w:right w:w="15" w:type="dxa"/>
            </w:tcMar>
            <w:vAlign w:val="center"/>
          </w:tcPr>
          <w:p w14:paraId="61C04B8E" w14:textId="77777777" w:rsidR="00CC6AE8" w:rsidRPr="0053235E" w:rsidRDefault="00CC6AE8" w:rsidP="004171C5">
            <w:pPr>
              <w:spacing w:after="0" w:line="240" w:lineRule="auto"/>
              <w:rPr>
                <w:rFonts w:ascii="Times New Roman" w:eastAsia="Times New Roman" w:hAnsi="Times New Roman"/>
              </w:rPr>
            </w:pPr>
            <w:r w:rsidRPr="0053235E">
              <w:rPr>
                <w:rFonts w:ascii="Times New Roman" w:eastAsia="Times New Roman" w:hAnsi="Times New Roman"/>
              </w:rPr>
              <w:t>Artifacts</w:t>
            </w:r>
          </w:p>
        </w:tc>
        <w:tc>
          <w:tcPr>
            <w:tcW w:w="1170" w:type="dxa"/>
            <w:vAlign w:val="center"/>
          </w:tcPr>
          <w:p w14:paraId="291F6E97" w14:textId="77777777" w:rsidR="00CC6AE8" w:rsidRPr="0053235E" w:rsidRDefault="00CC6AE8" w:rsidP="004171C5">
            <w:pPr>
              <w:spacing w:after="0" w:line="240" w:lineRule="auto"/>
              <w:jc w:val="center"/>
              <w:rPr>
                <w:rFonts w:ascii="Times New Roman" w:eastAsia="Arial Unicode MS" w:hAnsi="Times New Roman"/>
              </w:rPr>
            </w:pPr>
            <w:r w:rsidRPr="0053235E">
              <w:rPr>
                <w:rFonts w:ascii="Times New Roman" w:eastAsia="Arial Unicode MS" w:hAnsi="Times New Roman"/>
              </w:rPr>
              <w:t>5410ZE612</w:t>
            </w:r>
          </w:p>
        </w:tc>
        <w:tc>
          <w:tcPr>
            <w:tcW w:w="1170" w:type="dxa"/>
            <w:noWrap/>
            <w:tcMar>
              <w:top w:w="15" w:type="dxa"/>
              <w:left w:w="15" w:type="dxa"/>
              <w:bottom w:w="0" w:type="dxa"/>
              <w:right w:w="15" w:type="dxa"/>
            </w:tcMar>
            <w:vAlign w:val="center"/>
          </w:tcPr>
          <w:p w14:paraId="35E24ED4" w14:textId="77777777" w:rsidR="00CC6AE8" w:rsidRPr="0053235E" w:rsidRDefault="00CC6AE8" w:rsidP="000A7A40">
            <w:pPr>
              <w:spacing w:after="0" w:line="240" w:lineRule="auto"/>
              <w:jc w:val="center"/>
              <w:rPr>
                <w:rFonts w:ascii="Times New Roman" w:eastAsia="Arial Unicode MS" w:hAnsi="Times New Roman"/>
              </w:rPr>
            </w:pPr>
            <w:r w:rsidRPr="0053235E">
              <w:rPr>
                <w:rFonts w:ascii="Times New Roman" w:eastAsia="Arial Unicode MS" w:hAnsi="Times New Roman"/>
              </w:rPr>
              <w:t>253</w:t>
            </w:r>
          </w:p>
        </w:tc>
        <w:tc>
          <w:tcPr>
            <w:tcW w:w="1053" w:type="dxa"/>
            <w:shd w:val="clear" w:color="auto" w:fill="auto"/>
            <w:noWrap/>
            <w:tcMar>
              <w:top w:w="15" w:type="dxa"/>
              <w:left w:w="15" w:type="dxa"/>
              <w:bottom w:w="0" w:type="dxa"/>
              <w:right w:w="15" w:type="dxa"/>
            </w:tcMar>
            <w:vAlign w:val="center"/>
          </w:tcPr>
          <w:p w14:paraId="45F6E8CB" w14:textId="77777777" w:rsidR="00CC6AE8" w:rsidRPr="008646F0" w:rsidRDefault="00CC6AE8" w:rsidP="004171C5">
            <w:pPr>
              <w:spacing w:after="0" w:line="240" w:lineRule="auto"/>
              <w:jc w:val="center"/>
              <w:rPr>
                <w:rFonts w:ascii="Times New Roman" w:eastAsia="Times New Roman" w:hAnsi="Times New Roman"/>
                <w:highlight w:val="red"/>
              </w:rPr>
            </w:pPr>
            <w:r w:rsidRPr="008646F0">
              <w:rPr>
                <w:rFonts w:ascii="Times New Roman" w:eastAsia="Times New Roman" w:hAnsi="Times New Roman"/>
                <w:highlight w:val="red"/>
              </w:rPr>
              <w:t>0</w:t>
            </w:r>
          </w:p>
        </w:tc>
        <w:tc>
          <w:tcPr>
            <w:tcW w:w="1281" w:type="dxa"/>
            <w:shd w:val="clear" w:color="auto" w:fill="auto"/>
            <w:noWrap/>
            <w:tcMar>
              <w:top w:w="15" w:type="dxa"/>
              <w:left w:w="15" w:type="dxa"/>
              <w:bottom w:w="0" w:type="dxa"/>
              <w:right w:w="15" w:type="dxa"/>
            </w:tcMar>
            <w:vAlign w:val="center"/>
          </w:tcPr>
          <w:p w14:paraId="2C4D7C0E" w14:textId="77777777" w:rsidR="00CC6AE8" w:rsidRPr="008646F0" w:rsidRDefault="00CC6AE8" w:rsidP="004171C5">
            <w:pPr>
              <w:spacing w:after="0" w:line="240" w:lineRule="auto"/>
              <w:jc w:val="center"/>
              <w:rPr>
                <w:rFonts w:ascii="Times New Roman" w:eastAsia="Times New Roman" w:hAnsi="Times New Roman"/>
                <w:highlight w:val="red"/>
              </w:rPr>
            </w:pPr>
            <w:r w:rsidRPr="008646F0">
              <w:rPr>
                <w:rFonts w:ascii="Times New Roman" w:eastAsia="Times New Roman" w:hAnsi="Times New Roman"/>
                <w:highlight w:val="red"/>
              </w:rPr>
              <w:t>0</w:t>
            </w:r>
          </w:p>
        </w:tc>
        <w:tc>
          <w:tcPr>
            <w:tcW w:w="1266" w:type="dxa"/>
            <w:shd w:val="clear" w:color="auto" w:fill="auto"/>
            <w:noWrap/>
            <w:tcMar>
              <w:top w:w="15" w:type="dxa"/>
              <w:left w:w="15" w:type="dxa"/>
              <w:bottom w:w="0" w:type="dxa"/>
              <w:right w:w="15" w:type="dxa"/>
            </w:tcMar>
            <w:vAlign w:val="center"/>
          </w:tcPr>
          <w:p w14:paraId="339CE36D" w14:textId="29E361E0" w:rsidR="00CC6AE8" w:rsidRPr="008646F0" w:rsidRDefault="00717328" w:rsidP="007647C7">
            <w:pPr>
              <w:spacing w:after="0" w:line="240" w:lineRule="auto"/>
              <w:jc w:val="center"/>
              <w:rPr>
                <w:rFonts w:ascii="Times New Roman" w:eastAsia="Times New Roman" w:hAnsi="Times New Roman"/>
                <w:highlight w:val="red"/>
              </w:rPr>
            </w:pPr>
            <w:r>
              <w:rPr>
                <w:rFonts w:ascii="Times New Roman" w:eastAsia="Times New Roman" w:hAnsi="Times New Roman"/>
                <w:highlight w:val="red"/>
              </w:rPr>
              <w:t>253</w:t>
            </w:r>
          </w:p>
        </w:tc>
      </w:tr>
      <w:tr w:rsidR="004171C5" w:rsidRPr="00550E70" w14:paraId="1C0642F4" w14:textId="77777777" w:rsidTr="00FB56B8">
        <w:trPr>
          <w:trHeight w:val="667"/>
        </w:trPr>
        <w:tc>
          <w:tcPr>
            <w:tcW w:w="1975" w:type="dxa"/>
            <w:gridSpan w:val="2"/>
            <w:noWrap/>
            <w:tcMar>
              <w:top w:w="15" w:type="dxa"/>
              <w:left w:w="15" w:type="dxa"/>
              <w:bottom w:w="0" w:type="dxa"/>
              <w:right w:w="15" w:type="dxa"/>
            </w:tcMar>
            <w:vAlign w:val="center"/>
          </w:tcPr>
          <w:p w14:paraId="012EE016" w14:textId="77777777" w:rsidR="004171C5" w:rsidRPr="00BE6C3D" w:rsidRDefault="004171C5" w:rsidP="004171C5">
            <w:pPr>
              <w:spacing w:after="0" w:line="240" w:lineRule="auto"/>
              <w:rPr>
                <w:rFonts w:ascii="Times New Roman" w:eastAsia="Arial Unicode MS" w:hAnsi="Times New Roman"/>
              </w:rPr>
            </w:pPr>
            <w:r w:rsidRPr="00BE6C3D">
              <w:rPr>
                <w:rFonts w:ascii="Times New Roman" w:eastAsia="Times New Roman" w:hAnsi="Times New Roman"/>
              </w:rPr>
              <w:t>Others</w:t>
            </w:r>
          </w:p>
        </w:tc>
        <w:tc>
          <w:tcPr>
            <w:tcW w:w="2520" w:type="dxa"/>
            <w:tcMar>
              <w:top w:w="15" w:type="dxa"/>
              <w:left w:w="15" w:type="dxa"/>
              <w:bottom w:w="0" w:type="dxa"/>
              <w:right w:w="15" w:type="dxa"/>
            </w:tcMar>
            <w:vAlign w:val="center"/>
          </w:tcPr>
          <w:p w14:paraId="7E5763CF" w14:textId="77777777" w:rsidR="004171C5" w:rsidRPr="00BE6C3D" w:rsidRDefault="004171C5" w:rsidP="004171C5">
            <w:pPr>
              <w:spacing w:after="0" w:line="240" w:lineRule="auto"/>
              <w:rPr>
                <w:rFonts w:ascii="Times New Roman" w:eastAsia="Arial Unicode MS" w:hAnsi="Times New Roman"/>
              </w:rPr>
            </w:pPr>
            <w:r w:rsidRPr="00BE6C3D">
              <w:rPr>
                <w:rFonts w:ascii="Times New Roman" w:eastAsia="Times New Roman" w:hAnsi="Times New Roman"/>
              </w:rPr>
              <w:t>Artifacts, artwork, books, films, instruments, maps, and records</w:t>
            </w:r>
          </w:p>
        </w:tc>
        <w:tc>
          <w:tcPr>
            <w:tcW w:w="1170" w:type="dxa"/>
            <w:vAlign w:val="center"/>
          </w:tcPr>
          <w:p w14:paraId="799D08C3" w14:textId="77777777" w:rsidR="004171C5" w:rsidRPr="00913633" w:rsidRDefault="004171C5" w:rsidP="004171C5">
            <w:pPr>
              <w:spacing w:after="0" w:line="240" w:lineRule="auto"/>
              <w:jc w:val="center"/>
              <w:rPr>
                <w:rFonts w:ascii="Times New Roman" w:eastAsia="Arial Unicode MS" w:hAnsi="Times New Roman"/>
                <w:highlight w:val="red"/>
              </w:rPr>
            </w:pPr>
            <w:r w:rsidRPr="004E2285">
              <w:rPr>
                <w:rFonts w:ascii="Times New Roman" w:eastAsia="Arial Unicode MS" w:hAnsi="Times New Roman"/>
              </w:rPr>
              <w:t>All others</w:t>
            </w:r>
          </w:p>
        </w:tc>
        <w:tc>
          <w:tcPr>
            <w:tcW w:w="1170" w:type="dxa"/>
            <w:noWrap/>
            <w:tcMar>
              <w:top w:w="15" w:type="dxa"/>
              <w:left w:w="15" w:type="dxa"/>
              <w:bottom w:w="0" w:type="dxa"/>
              <w:right w:w="15" w:type="dxa"/>
            </w:tcMar>
            <w:vAlign w:val="center"/>
          </w:tcPr>
          <w:p w14:paraId="1866234B" w14:textId="77777777" w:rsidR="007647C7" w:rsidRPr="0053235E" w:rsidRDefault="004171C5" w:rsidP="00CC6AE8">
            <w:pPr>
              <w:spacing w:after="0" w:line="240" w:lineRule="auto"/>
              <w:jc w:val="center"/>
              <w:rPr>
                <w:rFonts w:ascii="Times New Roman" w:eastAsia="Arial Unicode MS" w:hAnsi="Times New Roman"/>
              </w:rPr>
            </w:pPr>
            <w:r w:rsidRPr="0053235E">
              <w:rPr>
                <w:rFonts w:ascii="Times New Roman" w:eastAsia="Arial Unicode MS" w:hAnsi="Times New Roman"/>
              </w:rPr>
              <w:t>3,</w:t>
            </w:r>
            <w:r w:rsidR="004437A8">
              <w:rPr>
                <w:rFonts w:ascii="Times New Roman" w:eastAsia="Arial Unicode MS" w:hAnsi="Times New Roman"/>
              </w:rPr>
              <w:t>164</w:t>
            </w:r>
          </w:p>
        </w:tc>
        <w:tc>
          <w:tcPr>
            <w:tcW w:w="1053" w:type="dxa"/>
            <w:shd w:val="clear" w:color="auto" w:fill="auto"/>
            <w:noWrap/>
            <w:tcMar>
              <w:top w:w="15" w:type="dxa"/>
              <w:left w:w="15" w:type="dxa"/>
              <w:bottom w:w="0" w:type="dxa"/>
              <w:right w:w="15" w:type="dxa"/>
            </w:tcMar>
            <w:vAlign w:val="center"/>
          </w:tcPr>
          <w:p w14:paraId="2164B0DE" w14:textId="77777777" w:rsidR="004171C5" w:rsidRPr="008646F0" w:rsidRDefault="004437A8" w:rsidP="004437A8">
            <w:pPr>
              <w:spacing w:after="0" w:line="240" w:lineRule="auto"/>
              <w:jc w:val="center"/>
              <w:rPr>
                <w:rFonts w:ascii="Times New Roman" w:eastAsia="Times New Roman" w:hAnsi="Times New Roman"/>
                <w:highlight w:val="red"/>
              </w:rPr>
            </w:pPr>
            <w:r w:rsidRPr="008646F0">
              <w:rPr>
                <w:rFonts w:ascii="Times New Roman" w:eastAsia="Times New Roman" w:hAnsi="Times New Roman"/>
                <w:highlight w:val="red"/>
              </w:rPr>
              <w:t>0</w:t>
            </w:r>
          </w:p>
        </w:tc>
        <w:tc>
          <w:tcPr>
            <w:tcW w:w="1281" w:type="dxa"/>
            <w:shd w:val="clear" w:color="auto" w:fill="auto"/>
            <w:noWrap/>
            <w:tcMar>
              <w:top w:w="15" w:type="dxa"/>
              <w:left w:w="15" w:type="dxa"/>
              <w:bottom w:w="0" w:type="dxa"/>
              <w:right w:w="15" w:type="dxa"/>
            </w:tcMar>
            <w:vAlign w:val="center"/>
          </w:tcPr>
          <w:p w14:paraId="2EE1E61A" w14:textId="77777777" w:rsidR="004171C5" w:rsidRPr="008646F0" w:rsidRDefault="002B2249" w:rsidP="004171C5">
            <w:pPr>
              <w:spacing w:after="0" w:line="240" w:lineRule="auto"/>
              <w:jc w:val="center"/>
              <w:rPr>
                <w:rFonts w:ascii="Times New Roman" w:eastAsia="Times New Roman" w:hAnsi="Times New Roman"/>
                <w:highlight w:val="red"/>
              </w:rPr>
            </w:pPr>
            <w:r w:rsidRPr="008646F0">
              <w:rPr>
                <w:rFonts w:ascii="Times New Roman" w:eastAsia="Times New Roman" w:hAnsi="Times New Roman"/>
                <w:highlight w:val="red"/>
              </w:rPr>
              <w:t>0</w:t>
            </w:r>
          </w:p>
        </w:tc>
        <w:tc>
          <w:tcPr>
            <w:tcW w:w="1266" w:type="dxa"/>
            <w:shd w:val="clear" w:color="auto" w:fill="auto"/>
            <w:noWrap/>
            <w:tcMar>
              <w:top w:w="15" w:type="dxa"/>
              <w:left w:w="15" w:type="dxa"/>
              <w:bottom w:w="0" w:type="dxa"/>
              <w:right w:w="15" w:type="dxa"/>
            </w:tcMar>
            <w:vAlign w:val="center"/>
          </w:tcPr>
          <w:p w14:paraId="2B4548CA" w14:textId="77777777" w:rsidR="004171C5" w:rsidRPr="008646F0" w:rsidRDefault="004171C5" w:rsidP="00CC6AE8">
            <w:pPr>
              <w:spacing w:after="0" w:line="240" w:lineRule="auto"/>
              <w:jc w:val="center"/>
              <w:rPr>
                <w:rFonts w:ascii="Times New Roman" w:eastAsia="Times New Roman" w:hAnsi="Times New Roman"/>
                <w:highlight w:val="red"/>
              </w:rPr>
            </w:pPr>
            <w:r w:rsidRPr="008646F0">
              <w:rPr>
                <w:rFonts w:ascii="Times New Roman" w:eastAsia="Times New Roman" w:hAnsi="Times New Roman"/>
                <w:highlight w:val="red"/>
              </w:rPr>
              <w:t>3,</w:t>
            </w:r>
            <w:r w:rsidR="00CC6AE8" w:rsidRPr="008646F0">
              <w:rPr>
                <w:rFonts w:ascii="Times New Roman" w:eastAsia="Times New Roman" w:hAnsi="Times New Roman"/>
                <w:highlight w:val="red"/>
              </w:rPr>
              <w:t>16</w:t>
            </w:r>
            <w:r w:rsidR="004D6B89" w:rsidRPr="008646F0">
              <w:rPr>
                <w:rFonts w:ascii="Times New Roman" w:eastAsia="Times New Roman" w:hAnsi="Times New Roman"/>
                <w:highlight w:val="red"/>
              </w:rPr>
              <w:t>4</w:t>
            </w:r>
          </w:p>
        </w:tc>
      </w:tr>
      <w:tr w:rsidR="004171C5" w:rsidRPr="00550E70" w14:paraId="1DD01D34" w14:textId="77777777" w:rsidTr="00FB56B8">
        <w:trPr>
          <w:trHeight w:val="255"/>
        </w:trPr>
        <w:tc>
          <w:tcPr>
            <w:tcW w:w="1975" w:type="dxa"/>
            <w:gridSpan w:val="2"/>
            <w:noWrap/>
            <w:tcMar>
              <w:top w:w="15" w:type="dxa"/>
              <w:left w:w="15" w:type="dxa"/>
              <w:bottom w:w="0" w:type="dxa"/>
              <w:right w:w="15" w:type="dxa"/>
            </w:tcMar>
            <w:vAlign w:val="bottom"/>
          </w:tcPr>
          <w:p w14:paraId="37434EC0" w14:textId="77777777" w:rsidR="004171C5" w:rsidRPr="00BE6C3D" w:rsidRDefault="004171C5" w:rsidP="004171C5">
            <w:pPr>
              <w:spacing w:after="0" w:line="240" w:lineRule="auto"/>
              <w:rPr>
                <w:rFonts w:ascii="Times New Roman" w:eastAsia="Arial Unicode MS" w:hAnsi="Times New Roman"/>
                <w:b/>
                <w:bCs/>
              </w:rPr>
            </w:pPr>
            <w:r w:rsidRPr="00BE6C3D">
              <w:rPr>
                <w:rFonts w:ascii="Times New Roman" w:eastAsia="Times New Roman" w:hAnsi="Times New Roman"/>
                <w:b/>
                <w:bCs/>
              </w:rPr>
              <w:t>Total</w:t>
            </w:r>
          </w:p>
        </w:tc>
        <w:tc>
          <w:tcPr>
            <w:tcW w:w="2520" w:type="dxa"/>
            <w:noWrap/>
            <w:tcMar>
              <w:top w:w="15" w:type="dxa"/>
              <w:left w:w="15" w:type="dxa"/>
              <w:bottom w:w="0" w:type="dxa"/>
              <w:right w:w="15" w:type="dxa"/>
            </w:tcMar>
            <w:vAlign w:val="bottom"/>
          </w:tcPr>
          <w:p w14:paraId="2C30F9DD" w14:textId="77777777" w:rsidR="004171C5" w:rsidRPr="00BE6C3D" w:rsidRDefault="004171C5" w:rsidP="004171C5">
            <w:pPr>
              <w:spacing w:after="0" w:line="240" w:lineRule="auto"/>
              <w:rPr>
                <w:rFonts w:ascii="Times New Roman" w:eastAsia="Arial Unicode MS" w:hAnsi="Times New Roman"/>
                <w:b/>
                <w:bCs/>
              </w:rPr>
            </w:pPr>
            <w:r w:rsidRPr="00BE6C3D">
              <w:rPr>
                <w:rFonts w:ascii="Times New Roman" w:eastAsia="Times New Roman" w:hAnsi="Times New Roman"/>
                <w:b/>
                <w:bCs/>
              </w:rPr>
              <w:t> </w:t>
            </w:r>
          </w:p>
        </w:tc>
        <w:tc>
          <w:tcPr>
            <w:tcW w:w="1170" w:type="dxa"/>
          </w:tcPr>
          <w:p w14:paraId="6DEE4C27" w14:textId="77777777" w:rsidR="004171C5" w:rsidRPr="00BE6C3D" w:rsidRDefault="004171C5" w:rsidP="004171C5">
            <w:pPr>
              <w:spacing w:after="0" w:line="240" w:lineRule="auto"/>
              <w:jc w:val="center"/>
              <w:rPr>
                <w:rFonts w:ascii="Times New Roman" w:eastAsia="Times New Roman" w:hAnsi="Times New Roman"/>
                <w:b/>
                <w:bCs/>
              </w:rPr>
            </w:pPr>
          </w:p>
        </w:tc>
        <w:tc>
          <w:tcPr>
            <w:tcW w:w="1170" w:type="dxa"/>
            <w:noWrap/>
            <w:tcMar>
              <w:top w:w="15" w:type="dxa"/>
              <w:left w:w="15" w:type="dxa"/>
              <w:bottom w:w="0" w:type="dxa"/>
              <w:right w:w="15" w:type="dxa"/>
            </w:tcMar>
            <w:vAlign w:val="bottom"/>
          </w:tcPr>
          <w:p w14:paraId="69EC6F33" w14:textId="4506B5A5" w:rsidR="004171C5" w:rsidRPr="0053235E" w:rsidRDefault="004171C5" w:rsidP="0077131D">
            <w:pPr>
              <w:spacing w:after="0" w:line="240" w:lineRule="auto"/>
              <w:jc w:val="center"/>
              <w:rPr>
                <w:rFonts w:ascii="Times New Roman" w:eastAsia="Arial Unicode MS" w:hAnsi="Times New Roman"/>
                <w:b/>
                <w:bCs/>
              </w:rPr>
            </w:pPr>
            <w:r w:rsidRPr="0053235E">
              <w:rPr>
                <w:rFonts w:ascii="Times New Roman" w:eastAsia="Times New Roman" w:hAnsi="Times New Roman"/>
                <w:b/>
                <w:bCs/>
              </w:rPr>
              <w:t>109,7</w:t>
            </w:r>
            <w:r w:rsidR="000A77EA">
              <w:rPr>
                <w:rFonts w:ascii="Times New Roman" w:eastAsia="Times New Roman" w:hAnsi="Times New Roman"/>
                <w:b/>
                <w:bCs/>
              </w:rPr>
              <w:t>00</w:t>
            </w:r>
          </w:p>
        </w:tc>
        <w:tc>
          <w:tcPr>
            <w:tcW w:w="1053" w:type="dxa"/>
            <w:noWrap/>
            <w:tcMar>
              <w:top w:w="15" w:type="dxa"/>
              <w:left w:w="15" w:type="dxa"/>
              <w:bottom w:w="0" w:type="dxa"/>
              <w:right w:w="15" w:type="dxa"/>
            </w:tcMar>
            <w:vAlign w:val="bottom"/>
          </w:tcPr>
          <w:p w14:paraId="2E72DB42" w14:textId="77777777" w:rsidR="004171C5" w:rsidRPr="008646F0" w:rsidRDefault="004437A8" w:rsidP="004171C5">
            <w:pPr>
              <w:spacing w:after="0" w:line="240" w:lineRule="auto"/>
              <w:jc w:val="center"/>
              <w:rPr>
                <w:rFonts w:ascii="Times New Roman" w:eastAsia="Times New Roman" w:hAnsi="Times New Roman"/>
                <w:b/>
                <w:highlight w:val="red"/>
              </w:rPr>
            </w:pPr>
            <w:r w:rsidRPr="008646F0">
              <w:rPr>
                <w:rFonts w:ascii="Times New Roman" w:eastAsia="Times New Roman" w:hAnsi="Times New Roman"/>
                <w:b/>
                <w:highlight w:val="red"/>
              </w:rPr>
              <w:t>0</w:t>
            </w:r>
          </w:p>
        </w:tc>
        <w:tc>
          <w:tcPr>
            <w:tcW w:w="1281" w:type="dxa"/>
            <w:noWrap/>
            <w:tcMar>
              <w:top w:w="15" w:type="dxa"/>
              <w:left w:w="15" w:type="dxa"/>
              <w:bottom w:w="0" w:type="dxa"/>
              <w:right w:w="15" w:type="dxa"/>
            </w:tcMar>
            <w:vAlign w:val="bottom"/>
          </w:tcPr>
          <w:p w14:paraId="075243C1" w14:textId="2D7342F3" w:rsidR="004171C5" w:rsidRPr="008646F0" w:rsidRDefault="000A77EA" w:rsidP="000A77EA">
            <w:pPr>
              <w:spacing w:after="0" w:line="240" w:lineRule="auto"/>
              <w:jc w:val="center"/>
              <w:rPr>
                <w:rFonts w:ascii="Times New Roman" w:eastAsia="Times New Roman" w:hAnsi="Times New Roman"/>
                <w:b/>
                <w:highlight w:val="red"/>
              </w:rPr>
            </w:pPr>
            <w:r>
              <w:rPr>
                <w:rFonts w:ascii="Times New Roman" w:eastAsia="Times New Roman" w:hAnsi="Times New Roman"/>
                <w:b/>
                <w:highlight w:val="red"/>
              </w:rPr>
              <w:t>0</w:t>
            </w:r>
          </w:p>
        </w:tc>
        <w:tc>
          <w:tcPr>
            <w:tcW w:w="1266" w:type="dxa"/>
            <w:noWrap/>
            <w:tcMar>
              <w:top w:w="15" w:type="dxa"/>
              <w:left w:w="15" w:type="dxa"/>
              <w:bottom w:w="0" w:type="dxa"/>
              <w:right w:w="15" w:type="dxa"/>
            </w:tcMar>
            <w:vAlign w:val="bottom"/>
          </w:tcPr>
          <w:p w14:paraId="79FDEF3E" w14:textId="0E0E9E32" w:rsidR="004171C5" w:rsidRPr="008646F0" w:rsidRDefault="001D0F05" w:rsidP="00C04F9D">
            <w:pPr>
              <w:spacing w:after="0" w:line="240" w:lineRule="auto"/>
              <w:jc w:val="center"/>
              <w:rPr>
                <w:rFonts w:ascii="Times New Roman" w:eastAsia="Times New Roman" w:hAnsi="Times New Roman"/>
                <w:b/>
                <w:highlight w:val="red"/>
              </w:rPr>
            </w:pPr>
            <w:r w:rsidRPr="008646F0">
              <w:rPr>
                <w:rFonts w:ascii="Times New Roman" w:eastAsia="Times New Roman" w:hAnsi="Times New Roman"/>
                <w:b/>
                <w:highlight w:val="red"/>
              </w:rPr>
              <w:t>109,</w:t>
            </w:r>
            <w:r w:rsidR="00717328">
              <w:rPr>
                <w:rFonts w:ascii="Times New Roman" w:eastAsia="Times New Roman" w:hAnsi="Times New Roman"/>
                <w:b/>
                <w:highlight w:val="red"/>
              </w:rPr>
              <w:t>700</w:t>
            </w:r>
          </w:p>
        </w:tc>
      </w:tr>
      <w:tr w:rsidR="004171C5" w:rsidRPr="00BE6C3D" w14:paraId="300750AE" w14:textId="77777777" w:rsidTr="00FB56B8">
        <w:trPr>
          <w:trHeight w:val="255"/>
        </w:trPr>
        <w:tc>
          <w:tcPr>
            <w:tcW w:w="10435" w:type="dxa"/>
            <w:gridSpan w:val="8"/>
          </w:tcPr>
          <w:p w14:paraId="53FD1B26" w14:textId="77777777" w:rsidR="004171C5" w:rsidRPr="00BE6C3D" w:rsidRDefault="004171C5" w:rsidP="004171C5">
            <w:pPr>
              <w:spacing w:after="0" w:line="240" w:lineRule="auto"/>
              <w:jc w:val="center"/>
              <w:rPr>
                <w:rFonts w:ascii="Times New Roman" w:eastAsia="Arial Unicode MS" w:hAnsi="Times New Roman"/>
                <w:bCs/>
              </w:rPr>
            </w:pPr>
            <w:r w:rsidRPr="00BE6C3D">
              <w:rPr>
                <w:rFonts w:ascii="Times New Roman" w:eastAsia="Times New Roman" w:hAnsi="Times New Roman"/>
                <w:bCs/>
              </w:rPr>
              <w:t>1 N/A - Not applicable; this category is reported as one collection.</w:t>
            </w:r>
          </w:p>
        </w:tc>
      </w:tr>
    </w:tbl>
    <w:p w14:paraId="49F9C845" w14:textId="77777777" w:rsidR="00FA3D24" w:rsidRDefault="00FA3D24" w:rsidP="000955D8">
      <w:pPr>
        <w:autoSpaceDE w:val="0"/>
        <w:autoSpaceDN w:val="0"/>
        <w:adjustRightInd w:val="0"/>
        <w:spacing w:after="0" w:line="240" w:lineRule="auto"/>
        <w:rPr>
          <w:rFonts w:ascii="Times New Roman" w:hAnsi="Times New Roman"/>
          <w:b/>
          <w:bCs/>
          <w:i/>
          <w:color w:val="000000"/>
          <w:sz w:val="24"/>
          <w:szCs w:val="24"/>
          <w:u w:val="single"/>
        </w:rPr>
      </w:pPr>
    </w:p>
    <w:p w14:paraId="51EC6941" w14:textId="77777777" w:rsidR="006A2C47" w:rsidRDefault="006A2C47">
      <w:pPr>
        <w:spacing w:after="0" w:line="240" w:lineRule="auto"/>
        <w:rPr>
          <w:rFonts w:ascii="Times New Roman" w:hAnsi="Times New Roman"/>
          <w:b/>
          <w:bCs/>
          <w:i/>
          <w:color w:val="000000"/>
          <w:sz w:val="24"/>
          <w:szCs w:val="24"/>
          <w:u w:val="single"/>
        </w:rPr>
      </w:pPr>
      <w:r>
        <w:rPr>
          <w:rFonts w:ascii="Times New Roman" w:hAnsi="Times New Roman"/>
          <w:b/>
          <w:bCs/>
          <w:i/>
          <w:color w:val="000000"/>
          <w:sz w:val="24"/>
          <w:szCs w:val="24"/>
          <w:u w:val="single"/>
        </w:rPr>
        <w:br w:type="page"/>
      </w:r>
    </w:p>
    <w:p w14:paraId="634E2E15" w14:textId="12CCB29A" w:rsidR="00015101" w:rsidRDefault="00015101" w:rsidP="008646F0">
      <w:pPr>
        <w:spacing w:after="0" w:line="240" w:lineRule="auto"/>
        <w:rPr>
          <w:rFonts w:ascii="Times New Roman" w:hAnsi="Times New Roman"/>
          <w:b/>
          <w:bCs/>
          <w:i/>
          <w:color w:val="000000"/>
          <w:sz w:val="24"/>
          <w:szCs w:val="24"/>
          <w:u w:val="single"/>
        </w:rPr>
      </w:pPr>
      <w:r>
        <w:rPr>
          <w:rFonts w:ascii="Times New Roman" w:hAnsi="Times New Roman"/>
          <w:b/>
          <w:bCs/>
          <w:i/>
          <w:color w:val="000000"/>
          <w:sz w:val="24"/>
          <w:szCs w:val="24"/>
          <w:u w:val="single"/>
        </w:rPr>
        <w:lastRenderedPageBreak/>
        <w:t>Management Discussion and Analysis (MD</w:t>
      </w:r>
      <w:r w:rsidR="00FB56B8">
        <w:rPr>
          <w:rFonts w:ascii="Times New Roman" w:hAnsi="Times New Roman"/>
          <w:b/>
          <w:bCs/>
          <w:i/>
          <w:color w:val="000000"/>
          <w:sz w:val="24"/>
          <w:szCs w:val="24"/>
          <w:u w:val="single"/>
        </w:rPr>
        <w:t>&amp;</w:t>
      </w:r>
      <w:r>
        <w:rPr>
          <w:rFonts w:ascii="Times New Roman" w:hAnsi="Times New Roman"/>
          <w:b/>
          <w:bCs/>
          <w:i/>
          <w:color w:val="000000"/>
          <w:sz w:val="24"/>
          <w:szCs w:val="24"/>
          <w:u w:val="single"/>
        </w:rPr>
        <w:t>A)</w:t>
      </w:r>
      <w:r w:rsidR="0057130D">
        <w:rPr>
          <w:rFonts w:ascii="Times New Roman" w:hAnsi="Times New Roman"/>
          <w:b/>
          <w:bCs/>
          <w:i/>
          <w:color w:val="000000"/>
          <w:sz w:val="24"/>
          <w:szCs w:val="24"/>
          <w:u w:val="single"/>
        </w:rPr>
        <w:t xml:space="preserve"> – Stewardship Investments</w:t>
      </w:r>
      <w:r>
        <w:rPr>
          <w:rFonts w:ascii="Times New Roman" w:hAnsi="Times New Roman"/>
          <w:b/>
          <w:bCs/>
          <w:i/>
          <w:color w:val="000000"/>
          <w:sz w:val="24"/>
          <w:szCs w:val="24"/>
          <w:u w:val="single"/>
        </w:rPr>
        <w:t>:</w:t>
      </w:r>
    </w:p>
    <w:p w14:paraId="32B4C5CA" w14:textId="6D3C138B" w:rsidR="00015101" w:rsidRDefault="00015101" w:rsidP="000955D8">
      <w:pPr>
        <w:autoSpaceDE w:val="0"/>
        <w:autoSpaceDN w:val="0"/>
        <w:adjustRightInd w:val="0"/>
        <w:spacing w:after="0" w:line="240" w:lineRule="auto"/>
        <w:rPr>
          <w:rFonts w:ascii="Times New Roman" w:hAnsi="Times New Roman"/>
          <w:b/>
          <w:bCs/>
          <w:i/>
          <w:color w:val="000000"/>
          <w:sz w:val="24"/>
          <w:szCs w:val="24"/>
          <w:u w:val="single"/>
        </w:rPr>
      </w:pPr>
    </w:p>
    <w:p w14:paraId="3D76D100" w14:textId="62C281B5" w:rsidR="003B56E8" w:rsidRDefault="0057130D" w:rsidP="006A2C47">
      <w:pPr>
        <w:autoSpaceDE w:val="0"/>
        <w:autoSpaceDN w:val="0"/>
        <w:adjustRightInd w:val="0"/>
        <w:spacing w:after="0" w:line="240" w:lineRule="auto"/>
        <w:rPr>
          <w:rFonts w:ascii="Times New Roman" w:hAnsi="Times New Roman"/>
          <w:bCs/>
          <w:color w:val="000000"/>
          <w:sz w:val="24"/>
          <w:szCs w:val="24"/>
        </w:rPr>
      </w:pPr>
      <w:r w:rsidRPr="00B24FE0">
        <w:rPr>
          <w:rFonts w:ascii="Times New Roman" w:hAnsi="Times New Roman"/>
          <w:bCs/>
          <w:color w:val="000000"/>
          <w:sz w:val="24"/>
          <w:szCs w:val="24"/>
        </w:rPr>
        <w:t xml:space="preserve">Stewardship investments are substantial investments made by the federal government for the benefit of the Nation, but are not physical assets owned by the federal government. Though treated as expenses when incurred to determine the Department’s Net Cost of Operations, these items merit special treatment so that users of federal financial reports know the extent of </w:t>
      </w:r>
      <w:r w:rsidRPr="00BC0F6A">
        <w:rPr>
          <w:rFonts w:ascii="Times New Roman" w:hAnsi="Times New Roman"/>
          <w:bCs/>
          <w:color w:val="000000"/>
          <w:sz w:val="24"/>
          <w:szCs w:val="24"/>
        </w:rPr>
        <w:t>investments that are made for the long-term benefit of the Nation.</w:t>
      </w:r>
    </w:p>
    <w:p w14:paraId="5AF6DDC9" w14:textId="77777777" w:rsidR="006A2C47" w:rsidRPr="006A2C47" w:rsidRDefault="006A2C47" w:rsidP="006A2C47">
      <w:pPr>
        <w:autoSpaceDE w:val="0"/>
        <w:autoSpaceDN w:val="0"/>
        <w:adjustRightInd w:val="0"/>
        <w:spacing w:after="0" w:line="240" w:lineRule="auto"/>
        <w:rPr>
          <w:rFonts w:ascii="Times New Roman" w:hAnsi="Times New Roman"/>
          <w:bCs/>
          <w:color w:val="000000"/>
          <w:sz w:val="24"/>
          <w:szCs w:val="24"/>
        </w:rPr>
      </w:pPr>
    </w:p>
    <w:p w14:paraId="445D3366" w14:textId="5ED21B86" w:rsidR="003C1FAA" w:rsidRPr="00FB3F76" w:rsidRDefault="003C1FAA" w:rsidP="00FB3F76">
      <w:pPr>
        <w:spacing w:after="0" w:line="240" w:lineRule="auto"/>
        <w:rPr>
          <w:rFonts w:ascii="Times New Roman" w:hAnsi="Times New Roman"/>
          <w:sz w:val="24"/>
          <w:szCs w:val="24"/>
        </w:rPr>
      </w:pPr>
      <w:r w:rsidRPr="00BE6C3D">
        <w:rPr>
          <w:rFonts w:ascii="Times New Roman" w:hAnsi="Times New Roman"/>
          <w:b/>
          <w:bCs/>
          <w:i/>
          <w:color w:val="000000"/>
          <w:sz w:val="24"/>
          <w:szCs w:val="24"/>
          <w:u w:val="single"/>
        </w:rPr>
        <w:t>Investments in Non-federal Physical Property:</w:t>
      </w:r>
    </w:p>
    <w:p w14:paraId="4689A480" w14:textId="77777777" w:rsidR="003C1FAA" w:rsidRPr="00BE6C3D" w:rsidRDefault="003C1FAA" w:rsidP="00AE5628">
      <w:pPr>
        <w:autoSpaceDE w:val="0"/>
        <w:autoSpaceDN w:val="0"/>
        <w:adjustRightInd w:val="0"/>
        <w:spacing w:after="0" w:line="240" w:lineRule="auto"/>
        <w:rPr>
          <w:rFonts w:ascii="Times New Roman" w:hAnsi="Times New Roman"/>
          <w:b/>
          <w:bCs/>
          <w:i/>
          <w:color w:val="000000"/>
          <w:sz w:val="24"/>
          <w:szCs w:val="24"/>
          <w:u w:val="single"/>
        </w:rPr>
      </w:pPr>
    </w:p>
    <w:p w14:paraId="7C10F986" w14:textId="36C16AFD" w:rsidR="00BF06B4" w:rsidRDefault="003C1FAA" w:rsidP="003C1FAA">
      <w:pPr>
        <w:autoSpaceDE w:val="0"/>
        <w:autoSpaceDN w:val="0"/>
        <w:adjustRightInd w:val="0"/>
        <w:spacing w:after="0" w:line="240" w:lineRule="auto"/>
        <w:rPr>
          <w:rFonts w:ascii="Times New Roman" w:hAnsi="Times New Roman"/>
          <w:bCs/>
          <w:color w:val="000000"/>
          <w:sz w:val="24"/>
          <w:szCs w:val="24"/>
        </w:rPr>
      </w:pPr>
      <w:r w:rsidRPr="00BE6C3D">
        <w:rPr>
          <w:rFonts w:ascii="Times New Roman" w:hAnsi="Times New Roman"/>
          <w:bCs/>
          <w:color w:val="000000"/>
          <w:sz w:val="24"/>
          <w:szCs w:val="24"/>
        </w:rPr>
        <w:t>Non-federal physical property investments are expenses included in the Department’s Net Cost of Operations for the purchase, construction, or major renovation of physical property owned by state and local governments. Based on a review of the Department’s programs, NOAA has significant investments in non-federal physical property.</w:t>
      </w:r>
    </w:p>
    <w:p w14:paraId="353235A4" w14:textId="77777777" w:rsidR="00A40901" w:rsidRDefault="00A40901" w:rsidP="003C1FAA">
      <w:pPr>
        <w:autoSpaceDE w:val="0"/>
        <w:autoSpaceDN w:val="0"/>
        <w:adjustRightInd w:val="0"/>
        <w:spacing w:after="0" w:line="240" w:lineRule="auto"/>
        <w:rPr>
          <w:rFonts w:ascii="Times New Roman" w:hAnsi="Times New Roman"/>
          <w:sz w:val="24"/>
          <w:szCs w:val="24"/>
        </w:rPr>
      </w:pPr>
    </w:p>
    <w:p w14:paraId="4F7D0619" w14:textId="4EBB53ED" w:rsidR="007D5DAA" w:rsidRDefault="003C1FAA" w:rsidP="006A2C47">
      <w:pPr>
        <w:autoSpaceDE w:val="0"/>
        <w:autoSpaceDN w:val="0"/>
        <w:adjustRightInd w:val="0"/>
        <w:spacing w:after="0" w:line="240" w:lineRule="auto"/>
        <w:contextualSpacing/>
        <w:rPr>
          <w:rFonts w:ascii="Times New Roman" w:hAnsi="Times New Roman"/>
          <w:sz w:val="24"/>
          <w:szCs w:val="24"/>
        </w:rPr>
      </w:pPr>
      <w:r w:rsidRPr="00DC06F8">
        <w:rPr>
          <w:rFonts w:ascii="Times New Roman" w:hAnsi="Times New Roman"/>
          <w:sz w:val="24"/>
          <w:szCs w:val="24"/>
        </w:rPr>
        <w:t xml:space="preserve">NOAA’s investments in non-federal physical property for FY </w:t>
      </w:r>
      <w:r w:rsidR="00A40901" w:rsidRPr="00DC06F8">
        <w:rPr>
          <w:rFonts w:ascii="Times New Roman" w:hAnsi="Times New Roman"/>
          <w:sz w:val="24"/>
          <w:szCs w:val="24"/>
        </w:rPr>
        <w:t>20</w:t>
      </w:r>
      <w:r w:rsidR="000A77EA">
        <w:rPr>
          <w:rFonts w:ascii="Times New Roman" w:hAnsi="Times New Roman"/>
          <w:sz w:val="24"/>
          <w:szCs w:val="24"/>
        </w:rPr>
        <w:t>20</w:t>
      </w:r>
      <w:r w:rsidR="00A40901" w:rsidRPr="00DC06F8">
        <w:rPr>
          <w:rFonts w:ascii="Times New Roman" w:hAnsi="Times New Roman"/>
          <w:sz w:val="24"/>
          <w:szCs w:val="24"/>
        </w:rPr>
        <w:t xml:space="preserve"> </w:t>
      </w:r>
      <w:r w:rsidR="00DC06F8" w:rsidRPr="00DC06F8">
        <w:rPr>
          <w:rFonts w:ascii="Times New Roman" w:hAnsi="Times New Roman"/>
          <w:sz w:val="24"/>
          <w:szCs w:val="24"/>
        </w:rPr>
        <w:t xml:space="preserve">and </w:t>
      </w:r>
      <w:r w:rsidR="0053469A" w:rsidRPr="00DC06F8">
        <w:rPr>
          <w:rFonts w:ascii="Times New Roman" w:hAnsi="Times New Roman"/>
          <w:sz w:val="24"/>
          <w:szCs w:val="24"/>
        </w:rPr>
        <w:t>FY 202</w:t>
      </w:r>
      <w:r w:rsidR="000A77EA">
        <w:rPr>
          <w:rFonts w:ascii="Times New Roman" w:hAnsi="Times New Roman"/>
          <w:sz w:val="24"/>
          <w:szCs w:val="24"/>
        </w:rPr>
        <w:t>1</w:t>
      </w:r>
      <w:r w:rsidRPr="00DC06F8">
        <w:rPr>
          <w:rFonts w:ascii="Times New Roman" w:hAnsi="Times New Roman"/>
          <w:sz w:val="24"/>
          <w:szCs w:val="24"/>
        </w:rPr>
        <w:t xml:space="preserve"> were as follows (in millions):</w:t>
      </w:r>
    </w:p>
    <w:p w14:paraId="11218C35" w14:textId="77777777" w:rsidR="0077252C" w:rsidRPr="00DC06F8" w:rsidRDefault="0077252C" w:rsidP="006A2C47">
      <w:pPr>
        <w:autoSpaceDE w:val="0"/>
        <w:autoSpaceDN w:val="0"/>
        <w:adjustRightInd w:val="0"/>
        <w:spacing w:after="0" w:line="240" w:lineRule="auto"/>
        <w:contextualSpacing/>
        <w:rPr>
          <w:rFonts w:ascii="Times New Roman" w:hAnsi="Times New Roman"/>
          <w:sz w:val="24"/>
          <w:szCs w:val="24"/>
        </w:rPr>
      </w:pPr>
    </w:p>
    <w:tbl>
      <w:tblPr>
        <w:tblpPr w:leftFromText="180" w:rightFromText="180" w:vertAnchor="text" w:horzAnchor="margin" w:tblpY="194"/>
        <w:tblW w:w="7253" w:type="dxa"/>
        <w:tblLayout w:type="fixed"/>
        <w:tblCellMar>
          <w:left w:w="0" w:type="dxa"/>
          <w:right w:w="0" w:type="dxa"/>
        </w:tblCellMar>
        <w:tblLook w:val="0000" w:firstRow="0" w:lastRow="0" w:firstColumn="0" w:lastColumn="0" w:noHBand="0" w:noVBand="0"/>
      </w:tblPr>
      <w:tblGrid>
        <w:gridCol w:w="5040"/>
        <w:gridCol w:w="737"/>
        <w:gridCol w:w="738"/>
        <w:gridCol w:w="738"/>
      </w:tblGrid>
      <w:tr w:rsidR="00DC06F8" w:rsidRPr="00DC06F8" w14:paraId="0F4731AF" w14:textId="77777777" w:rsidTr="007F3490">
        <w:trPr>
          <w:trHeight w:val="255"/>
        </w:trPr>
        <w:tc>
          <w:tcPr>
            <w:tcW w:w="5040" w:type="dxa"/>
            <w:shd w:val="clear" w:color="auto" w:fill="000000"/>
            <w:noWrap/>
            <w:tcMar>
              <w:top w:w="15" w:type="dxa"/>
              <w:left w:w="15" w:type="dxa"/>
              <w:bottom w:w="0" w:type="dxa"/>
              <w:right w:w="15" w:type="dxa"/>
            </w:tcMar>
            <w:vAlign w:val="bottom"/>
          </w:tcPr>
          <w:p w14:paraId="63F69316" w14:textId="77777777" w:rsidR="00DC06F8" w:rsidRPr="00DC06F8" w:rsidRDefault="00DC06F8" w:rsidP="00A81704">
            <w:pPr>
              <w:spacing w:after="0" w:line="240" w:lineRule="auto"/>
              <w:jc w:val="center"/>
              <w:rPr>
                <w:rFonts w:ascii="Times New Roman" w:eastAsia="Arial Unicode MS" w:hAnsi="Times New Roman"/>
                <w:b/>
                <w:bCs/>
                <w:sz w:val="24"/>
                <w:szCs w:val="24"/>
              </w:rPr>
            </w:pPr>
            <w:r w:rsidRPr="00DC06F8">
              <w:rPr>
                <w:rFonts w:ascii="Times New Roman" w:eastAsia="Times New Roman" w:hAnsi="Times New Roman"/>
                <w:b/>
                <w:bCs/>
                <w:sz w:val="24"/>
                <w:szCs w:val="24"/>
              </w:rPr>
              <w:t>Program</w:t>
            </w:r>
          </w:p>
        </w:tc>
        <w:tc>
          <w:tcPr>
            <w:tcW w:w="737" w:type="dxa"/>
            <w:tcBorders>
              <w:bottom w:val="single" w:sz="4" w:space="0" w:color="auto"/>
            </w:tcBorders>
            <w:shd w:val="clear" w:color="auto" w:fill="000000"/>
          </w:tcPr>
          <w:p w14:paraId="057598C0" w14:textId="038F9341" w:rsidR="00DC06F8" w:rsidRPr="00DC06F8" w:rsidRDefault="00DC06F8" w:rsidP="00A81704">
            <w:pPr>
              <w:spacing w:after="0" w:line="240" w:lineRule="auto"/>
              <w:jc w:val="center"/>
              <w:rPr>
                <w:rFonts w:ascii="Times New Roman" w:eastAsia="Times New Roman" w:hAnsi="Times New Roman"/>
                <w:b/>
                <w:bCs/>
                <w:sz w:val="24"/>
                <w:szCs w:val="24"/>
              </w:rPr>
            </w:pPr>
            <w:r w:rsidRPr="00DC06F8">
              <w:rPr>
                <w:rFonts w:ascii="Times New Roman" w:eastAsia="Times New Roman" w:hAnsi="Times New Roman"/>
                <w:b/>
                <w:bCs/>
                <w:sz w:val="24"/>
                <w:szCs w:val="24"/>
              </w:rPr>
              <w:t>FY 202</w:t>
            </w:r>
            <w:r w:rsidR="000A77EA">
              <w:rPr>
                <w:rFonts w:ascii="Times New Roman" w:eastAsia="Times New Roman" w:hAnsi="Times New Roman"/>
                <w:b/>
                <w:bCs/>
                <w:sz w:val="24"/>
                <w:szCs w:val="24"/>
              </w:rPr>
              <w:t>1</w:t>
            </w:r>
          </w:p>
        </w:tc>
        <w:tc>
          <w:tcPr>
            <w:tcW w:w="738" w:type="dxa"/>
            <w:tcBorders>
              <w:bottom w:val="single" w:sz="4" w:space="0" w:color="auto"/>
            </w:tcBorders>
            <w:shd w:val="clear" w:color="auto" w:fill="000000"/>
          </w:tcPr>
          <w:p w14:paraId="0B71A47E" w14:textId="3610C429" w:rsidR="00DC06F8" w:rsidRPr="00DC06F8" w:rsidRDefault="00DC06F8" w:rsidP="00A81704">
            <w:pPr>
              <w:spacing w:after="0" w:line="240" w:lineRule="auto"/>
              <w:jc w:val="center"/>
              <w:rPr>
                <w:rFonts w:ascii="Times New Roman" w:eastAsia="Times New Roman" w:hAnsi="Times New Roman"/>
                <w:b/>
                <w:bCs/>
                <w:sz w:val="24"/>
                <w:szCs w:val="24"/>
              </w:rPr>
            </w:pPr>
            <w:r w:rsidRPr="00DC06F8">
              <w:rPr>
                <w:rFonts w:ascii="Times New Roman" w:eastAsia="Times New Roman" w:hAnsi="Times New Roman"/>
                <w:b/>
                <w:bCs/>
                <w:sz w:val="24"/>
                <w:szCs w:val="24"/>
              </w:rPr>
              <w:t>FY 20</w:t>
            </w:r>
            <w:r w:rsidR="000A77EA">
              <w:rPr>
                <w:rFonts w:ascii="Times New Roman" w:eastAsia="Times New Roman" w:hAnsi="Times New Roman"/>
                <w:b/>
                <w:bCs/>
                <w:sz w:val="24"/>
                <w:szCs w:val="24"/>
              </w:rPr>
              <w:t>20</w:t>
            </w:r>
          </w:p>
        </w:tc>
        <w:tc>
          <w:tcPr>
            <w:tcW w:w="738" w:type="dxa"/>
            <w:shd w:val="clear" w:color="auto" w:fill="000000"/>
            <w:vAlign w:val="bottom"/>
          </w:tcPr>
          <w:p w14:paraId="03E55053" w14:textId="77777777" w:rsidR="00DC06F8" w:rsidRPr="00DC06F8" w:rsidRDefault="00DC06F8" w:rsidP="00A81704">
            <w:pPr>
              <w:spacing w:after="0" w:line="240" w:lineRule="auto"/>
              <w:jc w:val="center"/>
              <w:rPr>
                <w:rFonts w:ascii="Times New Roman" w:eastAsia="Arial Unicode MS" w:hAnsi="Times New Roman"/>
                <w:b/>
                <w:bCs/>
                <w:sz w:val="24"/>
                <w:szCs w:val="24"/>
              </w:rPr>
            </w:pPr>
            <w:r w:rsidRPr="00DC06F8">
              <w:rPr>
                <w:rFonts w:ascii="Times New Roman" w:eastAsia="Times New Roman" w:hAnsi="Times New Roman"/>
                <w:b/>
                <w:bCs/>
                <w:sz w:val="24"/>
                <w:szCs w:val="24"/>
              </w:rPr>
              <w:t>Total</w:t>
            </w:r>
          </w:p>
        </w:tc>
      </w:tr>
      <w:tr w:rsidR="00DC06F8" w:rsidRPr="00FB56B8" w14:paraId="15EBBDF0" w14:textId="77777777" w:rsidTr="007F3490">
        <w:trPr>
          <w:trHeight w:val="255"/>
        </w:trPr>
        <w:tc>
          <w:tcPr>
            <w:tcW w:w="5040"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49BC86" w14:textId="77777777" w:rsidR="00DC06F8" w:rsidRPr="00DC06F8" w:rsidRDefault="00DC06F8" w:rsidP="0053469A">
            <w:pPr>
              <w:spacing w:after="0" w:line="240" w:lineRule="auto"/>
              <w:rPr>
                <w:rFonts w:ascii="Times New Roman" w:eastAsia="Arial Unicode MS" w:hAnsi="Times New Roman"/>
                <w:sz w:val="24"/>
                <w:szCs w:val="24"/>
              </w:rPr>
            </w:pPr>
            <w:r w:rsidRPr="00DC06F8">
              <w:rPr>
                <w:rFonts w:ascii="Times New Roman" w:eastAsia="Times New Roman" w:hAnsi="Times New Roman"/>
                <w:sz w:val="24"/>
                <w:szCs w:val="24"/>
              </w:rPr>
              <w:t>National Estuarine Research Reserves</w:t>
            </w:r>
          </w:p>
        </w:tc>
        <w:tc>
          <w:tcPr>
            <w:tcW w:w="737" w:type="dxa"/>
            <w:tcBorders>
              <w:top w:val="single" w:sz="4" w:space="0" w:color="auto"/>
              <w:left w:val="nil"/>
              <w:bottom w:val="single" w:sz="4" w:space="0" w:color="auto"/>
              <w:right w:val="single" w:sz="4" w:space="0" w:color="auto"/>
            </w:tcBorders>
          </w:tcPr>
          <w:p w14:paraId="5CD23220" w14:textId="0DEC7B4C" w:rsidR="00DC06F8" w:rsidRPr="008646F0" w:rsidRDefault="00DC06F8" w:rsidP="0053469A">
            <w:pPr>
              <w:spacing w:after="0" w:line="240" w:lineRule="auto"/>
              <w:jc w:val="right"/>
              <w:rPr>
                <w:rFonts w:ascii="Times New Roman" w:eastAsia="Arial Unicode MS" w:hAnsi="Times New Roman"/>
                <w:sz w:val="24"/>
                <w:szCs w:val="24"/>
                <w:highlight w:val="red"/>
              </w:rPr>
            </w:pPr>
            <w:r w:rsidRPr="008646F0">
              <w:rPr>
                <w:rFonts w:ascii="Times New Roman" w:eastAsia="Arial Unicode MS" w:hAnsi="Times New Roman"/>
                <w:sz w:val="24"/>
                <w:szCs w:val="24"/>
                <w:highlight w:val="red"/>
              </w:rPr>
              <w:t>$</w:t>
            </w:r>
            <w:r w:rsidR="00717328">
              <w:rPr>
                <w:rFonts w:ascii="Times New Roman" w:eastAsia="Arial Unicode MS" w:hAnsi="Times New Roman"/>
                <w:sz w:val="24"/>
                <w:szCs w:val="24"/>
                <w:highlight w:val="red"/>
              </w:rPr>
              <w:t>4</w:t>
            </w:r>
          </w:p>
        </w:tc>
        <w:tc>
          <w:tcPr>
            <w:tcW w:w="738" w:type="dxa"/>
            <w:tcBorders>
              <w:top w:val="single" w:sz="4" w:space="0" w:color="auto"/>
              <w:left w:val="single" w:sz="4" w:space="0" w:color="auto"/>
              <w:bottom w:val="single" w:sz="4" w:space="0" w:color="auto"/>
              <w:right w:val="single" w:sz="4" w:space="0" w:color="auto"/>
            </w:tcBorders>
          </w:tcPr>
          <w:p w14:paraId="06D9E07A" w14:textId="4F962B04" w:rsidR="00DC06F8" w:rsidRPr="00DC06F8" w:rsidRDefault="00DC06F8" w:rsidP="0053469A">
            <w:pPr>
              <w:spacing w:after="0" w:line="240" w:lineRule="auto"/>
              <w:jc w:val="right"/>
              <w:rPr>
                <w:rFonts w:ascii="Times New Roman" w:eastAsia="Arial Unicode MS" w:hAnsi="Times New Roman"/>
                <w:sz w:val="24"/>
                <w:szCs w:val="24"/>
              </w:rPr>
            </w:pPr>
            <w:r w:rsidRPr="00DC06F8">
              <w:rPr>
                <w:rFonts w:ascii="Times New Roman" w:eastAsia="Arial Unicode MS" w:hAnsi="Times New Roman"/>
                <w:sz w:val="24"/>
                <w:szCs w:val="24"/>
              </w:rPr>
              <w:t>$</w:t>
            </w:r>
            <w:r w:rsidR="000A77EA">
              <w:rPr>
                <w:rFonts w:ascii="Times New Roman" w:eastAsia="Arial Unicode MS" w:hAnsi="Times New Roman"/>
                <w:sz w:val="24"/>
                <w:szCs w:val="24"/>
              </w:rPr>
              <w:t>4.5</w:t>
            </w:r>
          </w:p>
        </w:tc>
        <w:tc>
          <w:tcPr>
            <w:tcW w:w="738" w:type="dxa"/>
            <w:tcBorders>
              <w:left w:val="single" w:sz="4" w:space="0" w:color="auto"/>
              <w:bottom w:val="single" w:sz="4" w:space="0" w:color="auto"/>
              <w:right w:val="single" w:sz="4" w:space="0" w:color="auto"/>
            </w:tcBorders>
            <w:shd w:val="clear" w:color="auto" w:fill="auto"/>
            <w:vAlign w:val="bottom"/>
          </w:tcPr>
          <w:p w14:paraId="0D9E889E" w14:textId="11B9C165" w:rsidR="00DC06F8" w:rsidRPr="00FB56B8" w:rsidRDefault="00DC06F8" w:rsidP="00FB56B8">
            <w:pPr>
              <w:spacing w:after="0" w:line="240" w:lineRule="auto"/>
              <w:jc w:val="right"/>
              <w:rPr>
                <w:rFonts w:ascii="Times New Roman" w:eastAsia="Times New Roman" w:hAnsi="Times New Roman"/>
                <w:b/>
                <w:sz w:val="24"/>
                <w:szCs w:val="24"/>
              </w:rPr>
            </w:pPr>
            <w:r w:rsidRPr="008646F0">
              <w:rPr>
                <w:rFonts w:ascii="Times New Roman" w:eastAsia="Times New Roman" w:hAnsi="Times New Roman"/>
                <w:b/>
                <w:sz w:val="24"/>
                <w:szCs w:val="24"/>
                <w:highlight w:val="red"/>
              </w:rPr>
              <w:t>$</w:t>
            </w:r>
            <w:r w:rsidR="00717328">
              <w:rPr>
                <w:rFonts w:ascii="Times New Roman" w:eastAsia="Times New Roman" w:hAnsi="Times New Roman"/>
                <w:b/>
                <w:sz w:val="24"/>
                <w:szCs w:val="24"/>
                <w:highlight w:val="red"/>
              </w:rPr>
              <w:t>8</w:t>
            </w:r>
            <w:r w:rsidR="000A77EA">
              <w:rPr>
                <w:rFonts w:ascii="Times New Roman" w:eastAsia="Times New Roman" w:hAnsi="Times New Roman"/>
                <w:b/>
                <w:sz w:val="24"/>
                <w:szCs w:val="24"/>
                <w:highlight w:val="red"/>
              </w:rPr>
              <w:t>.5</w:t>
            </w:r>
            <w:r w:rsidRPr="00FB56B8">
              <w:rPr>
                <w:rFonts w:ascii="Times New Roman" w:eastAsia="Times New Roman" w:hAnsi="Times New Roman"/>
                <w:b/>
                <w:sz w:val="24"/>
                <w:szCs w:val="24"/>
              </w:rPr>
              <w:t xml:space="preserve"> </w:t>
            </w:r>
          </w:p>
        </w:tc>
      </w:tr>
      <w:tr w:rsidR="00DC06F8" w:rsidRPr="00FB56B8" w14:paraId="46FA996D" w14:textId="77777777" w:rsidTr="007F3490">
        <w:trPr>
          <w:trHeight w:val="255"/>
        </w:trPr>
        <w:tc>
          <w:tcPr>
            <w:tcW w:w="50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FE25DEF" w14:textId="77777777" w:rsidR="00DC06F8" w:rsidRPr="00DC06F8" w:rsidRDefault="00DC06F8" w:rsidP="007F3490">
            <w:pPr>
              <w:spacing w:after="0" w:line="240" w:lineRule="auto"/>
              <w:rPr>
                <w:rFonts w:ascii="Times New Roman" w:eastAsia="Arial Unicode MS" w:hAnsi="Times New Roman"/>
                <w:sz w:val="24"/>
                <w:szCs w:val="24"/>
              </w:rPr>
            </w:pPr>
            <w:r w:rsidRPr="00DC06F8">
              <w:rPr>
                <w:rFonts w:ascii="Times New Roman" w:eastAsia="Times New Roman" w:hAnsi="Times New Roman"/>
                <w:sz w:val="24"/>
                <w:szCs w:val="24"/>
              </w:rPr>
              <w:t>Coastal and Estuarine Land Conservation Program</w:t>
            </w:r>
          </w:p>
        </w:tc>
        <w:tc>
          <w:tcPr>
            <w:tcW w:w="737" w:type="dxa"/>
            <w:tcBorders>
              <w:top w:val="single" w:sz="4" w:space="0" w:color="auto"/>
              <w:left w:val="nil"/>
              <w:bottom w:val="single" w:sz="4" w:space="0" w:color="auto"/>
              <w:right w:val="single" w:sz="4" w:space="0" w:color="auto"/>
            </w:tcBorders>
            <w:vAlign w:val="center"/>
          </w:tcPr>
          <w:p w14:paraId="7A3A40B5" w14:textId="5DFC80CB" w:rsidR="00DC06F8" w:rsidRPr="00FB56B8" w:rsidRDefault="00DC06F8" w:rsidP="0053469A">
            <w:pPr>
              <w:spacing w:after="0" w:line="240" w:lineRule="auto"/>
              <w:jc w:val="right"/>
              <w:rPr>
                <w:rFonts w:ascii="Times New Roman" w:eastAsia="Arial Unicode MS" w:hAnsi="Times New Roman"/>
                <w:sz w:val="24"/>
                <w:szCs w:val="24"/>
              </w:rPr>
            </w:pPr>
            <w:r w:rsidRPr="008646F0">
              <w:rPr>
                <w:rFonts w:ascii="Times New Roman" w:eastAsia="Arial Unicode MS" w:hAnsi="Times New Roman"/>
                <w:sz w:val="24"/>
                <w:szCs w:val="24"/>
                <w:highlight w:val="red"/>
              </w:rPr>
              <w:t>0</w:t>
            </w:r>
          </w:p>
        </w:tc>
        <w:tc>
          <w:tcPr>
            <w:tcW w:w="738" w:type="dxa"/>
            <w:tcBorders>
              <w:top w:val="single" w:sz="4" w:space="0" w:color="auto"/>
              <w:left w:val="single" w:sz="4" w:space="0" w:color="auto"/>
              <w:bottom w:val="single" w:sz="4" w:space="0" w:color="auto"/>
              <w:right w:val="single" w:sz="4" w:space="0" w:color="auto"/>
            </w:tcBorders>
            <w:vAlign w:val="center"/>
          </w:tcPr>
          <w:p w14:paraId="27D16A60" w14:textId="5E463252" w:rsidR="00DC06F8" w:rsidRPr="00DC06F8" w:rsidRDefault="000A77EA" w:rsidP="0053469A">
            <w:pPr>
              <w:spacing w:after="0" w:line="240" w:lineRule="auto"/>
              <w:jc w:val="right"/>
              <w:rPr>
                <w:rFonts w:ascii="Times New Roman" w:eastAsia="Arial Unicode MS" w:hAnsi="Times New Roman"/>
                <w:sz w:val="24"/>
                <w:szCs w:val="24"/>
              </w:rPr>
            </w:pPr>
            <w:r>
              <w:rPr>
                <w:rFonts w:ascii="Times New Roman" w:eastAsia="Arial Unicode MS" w:hAnsi="Times New Roman"/>
                <w:sz w:val="24"/>
                <w:szCs w:val="24"/>
              </w:rPr>
              <w:t>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0ECC97C" w14:textId="576E2968" w:rsidR="00DC06F8" w:rsidRPr="00FB56B8" w:rsidRDefault="00DC06F8" w:rsidP="00FB56B8">
            <w:pPr>
              <w:spacing w:after="0" w:line="240" w:lineRule="auto"/>
              <w:jc w:val="right"/>
              <w:rPr>
                <w:rFonts w:ascii="Times New Roman" w:eastAsia="Times New Roman" w:hAnsi="Times New Roman"/>
                <w:b/>
                <w:sz w:val="24"/>
                <w:szCs w:val="24"/>
              </w:rPr>
            </w:pPr>
            <w:r w:rsidRPr="008646F0">
              <w:rPr>
                <w:rFonts w:ascii="Times New Roman" w:eastAsia="Times New Roman" w:hAnsi="Times New Roman"/>
                <w:b/>
                <w:sz w:val="24"/>
                <w:szCs w:val="24"/>
                <w:highlight w:val="red"/>
              </w:rPr>
              <w:t>0</w:t>
            </w:r>
          </w:p>
        </w:tc>
      </w:tr>
      <w:tr w:rsidR="00DC06F8" w:rsidRPr="00FB56B8" w14:paraId="59AEC978" w14:textId="77777777" w:rsidTr="007F3490">
        <w:trPr>
          <w:trHeight w:val="255"/>
        </w:trPr>
        <w:tc>
          <w:tcPr>
            <w:tcW w:w="50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DCBC59" w14:textId="77777777" w:rsidR="00DC06F8" w:rsidRPr="00DC06F8" w:rsidRDefault="00DC06F8" w:rsidP="0053469A">
            <w:pPr>
              <w:spacing w:after="0" w:line="240" w:lineRule="auto"/>
              <w:rPr>
                <w:rFonts w:ascii="Times New Roman" w:eastAsia="Arial Unicode MS" w:hAnsi="Times New Roman"/>
                <w:b/>
                <w:bCs/>
                <w:sz w:val="24"/>
                <w:szCs w:val="24"/>
              </w:rPr>
            </w:pPr>
            <w:r w:rsidRPr="00DC06F8">
              <w:rPr>
                <w:rFonts w:ascii="Times New Roman" w:eastAsia="Times New Roman" w:hAnsi="Times New Roman"/>
                <w:b/>
                <w:bCs/>
                <w:sz w:val="24"/>
                <w:szCs w:val="24"/>
              </w:rPr>
              <w:t>Total</w:t>
            </w:r>
          </w:p>
        </w:tc>
        <w:tc>
          <w:tcPr>
            <w:tcW w:w="737" w:type="dxa"/>
            <w:tcBorders>
              <w:top w:val="single" w:sz="4" w:space="0" w:color="auto"/>
              <w:left w:val="nil"/>
              <w:bottom w:val="single" w:sz="4" w:space="0" w:color="auto"/>
              <w:right w:val="single" w:sz="4" w:space="0" w:color="auto"/>
            </w:tcBorders>
          </w:tcPr>
          <w:p w14:paraId="2D325C54" w14:textId="55E3413A" w:rsidR="00DC06F8" w:rsidRPr="00FB56B8" w:rsidRDefault="00DC06F8" w:rsidP="0053469A">
            <w:pPr>
              <w:spacing w:after="0" w:line="240" w:lineRule="auto"/>
              <w:jc w:val="right"/>
              <w:rPr>
                <w:rFonts w:ascii="Times New Roman" w:eastAsia="Arial Unicode MS" w:hAnsi="Times New Roman"/>
                <w:b/>
                <w:bCs/>
                <w:sz w:val="24"/>
                <w:szCs w:val="24"/>
              </w:rPr>
            </w:pPr>
            <w:r w:rsidRPr="008646F0">
              <w:rPr>
                <w:rFonts w:ascii="Times New Roman" w:eastAsia="Arial Unicode MS" w:hAnsi="Times New Roman"/>
                <w:b/>
                <w:bCs/>
                <w:sz w:val="24"/>
                <w:szCs w:val="24"/>
                <w:highlight w:val="red"/>
              </w:rPr>
              <w:t>$</w:t>
            </w:r>
            <w:r w:rsidR="00717328">
              <w:rPr>
                <w:rFonts w:ascii="Times New Roman" w:eastAsia="Arial Unicode MS" w:hAnsi="Times New Roman"/>
                <w:b/>
                <w:bCs/>
                <w:sz w:val="24"/>
                <w:szCs w:val="24"/>
                <w:highlight w:val="red"/>
              </w:rPr>
              <w:t>4</w:t>
            </w:r>
          </w:p>
        </w:tc>
        <w:tc>
          <w:tcPr>
            <w:tcW w:w="738" w:type="dxa"/>
            <w:tcBorders>
              <w:top w:val="single" w:sz="4" w:space="0" w:color="auto"/>
              <w:left w:val="single" w:sz="4" w:space="0" w:color="auto"/>
              <w:bottom w:val="single" w:sz="4" w:space="0" w:color="auto"/>
              <w:right w:val="single" w:sz="4" w:space="0" w:color="auto"/>
            </w:tcBorders>
          </w:tcPr>
          <w:p w14:paraId="000CCCA0" w14:textId="3D6E4CAB" w:rsidR="00DC06F8" w:rsidRPr="00DC06F8" w:rsidRDefault="00DC06F8" w:rsidP="0053469A">
            <w:pPr>
              <w:spacing w:after="0" w:line="240" w:lineRule="auto"/>
              <w:jc w:val="right"/>
              <w:rPr>
                <w:rFonts w:ascii="Times New Roman" w:eastAsia="Arial Unicode MS" w:hAnsi="Times New Roman"/>
                <w:b/>
                <w:bCs/>
                <w:sz w:val="24"/>
                <w:szCs w:val="24"/>
              </w:rPr>
            </w:pPr>
            <w:r w:rsidRPr="00DC06F8">
              <w:rPr>
                <w:rFonts w:ascii="Times New Roman" w:eastAsia="Arial Unicode MS" w:hAnsi="Times New Roman"/>
                <w:b/>
                <w:bCs/>
                <w:sz w:val="24"/>
                <w:szCs w:val="24"/>
              </w:rPr>
              <w:t>$</w:t>
            </w:r>
            <w:r w:rsidR="000A77EA">
              <w:rPr>
                <w:rFonts w:ascii="Times New Roman" w:eastAsia="Arial Unicode MS" w:hAnsi="Times New Roman"/>
                <w:b/>
                <w:bCs/>
                <w:sz w:val="24"/>
                <w:szCs w:val="24"/>
              </w:rPr>
              <w:t>4.5</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A7806EF" w14:textId="621E82C4" w:rsidR="00DC06F8" w:rsidRPr="00FB56B8" w:rsidRDefault="00DC06F8" w:rsidP="00FB56B8">
            <w:pPr>
              <w:spacing w:after="0" w:line="240" w:lineRule="auto"/>
              <w:jc w:val="right"/>
              <w:rPr>
                <w:rFonts w:ascii="Times New Roman" w:eastAsia="Times New Roman" w:hAnsi="Times New Roman"/>
                <w:b/>
                <w:sz w:val="24"/>
                <w:szCs w:val="24"/>
              </w:rPr>
            </w:pPr>
            <w:r w:rsidRPr="008646F0">
              <w:rPr>
                <w:rFonts w:ascii="Times New Roman" w:eastAsia="Times New Roman" w:hAnsi="Times New Roman"/>
                <w:b/>
                <w:sz w:val="24"/>
                <w:szCs w:val="24"/>
                <w:highlight w:val="red"/>
              </w:rPr>
              <w:t>$</w:t>
            </w:r>
            <w:r w:rsidR="00717328">
              <w:rPr>
                <w:rFonts w:ascii="Times New Roman" w:eastAsia="Times New Roman" w:hAnsi="Times New Roman"/>
                <w:b/>
                <w:sz w:val="24"/>
                <w:szCs w:val="24"/>
                <w:highlight w:val="red"/>
              </w:rPr>
              <w:t>8</w:t>
            </w:r>
            <w:r w:rsidR="000A77EA">
              <w:rPr>
                <w:rFonts w:ascii="Times New Roman" w:eastAsia="Times New Roman" w:hAnsi="Times New Roman"/>
                <w:b/>
                <w:sz w:val="24"/>
                <w:szCs w:val="24"/>
                <w:highlight w:val="red"/>
              </w:rPr>
              <w:t>.5</w:t>
            </w:r>
          </w:p>
        </w:tc>
      </w:tr>
    </w:tbl>
    <w:p w14:paraId="2173F5A2" w14:textId="77777777" w:rsidR="003C1FAA" w:rsidRPr="00DC06F8" w:rsidRDefault="003C1FAA" w:rsidP="003C1FAA">
      <w:pPr>
        <w:autoSpaceDE w:val="0"/>
        <w:autoSpaceDN w:val="0"/>
        <w:adjustRightInd w:val="0"/>
        <w:spacing w:after="0" w:line="240" w:lineRule="auto"/>
        <w:rPr>
          <w:rFonts w:ascii="Times New Roman" w:hAnsi="Times New Roman"/>
          <w:b/>
          <w:bCs/>
          <w:sz w:val="24"/>
          <w:szCs w:val="24"/>
        </w:rPr>
      </w:pPr>
    </w:p>
    <w:p w14:paraId="78A3170C" w14:textId="77777777" w:rsidR="00F23EE8" w:rsidRPr="00DC06F8" w:rsidRDefault="00F23EE8" w:rsidP="003C1FAA">
      <w:pPr>
        <w:autoSpaceDE w:val="0"/>
        <w:autoSpaceDN w:val="0"/>
        <w:adjustRightInd w:val="0"/>
        <w:spacing w:after="0" w:line="240" w:lineRule="auto"/>
        <w:contextualSpacing/>
        <w:rPr>
          <w:rFonts w:ascii="Times New Roman" w:hAnsi="Times New Roman"/>
          <w:b/>
          <w:bCs/>
          <w:sz w:val="24"/>
          <w:szCs w:val="24"/>
        </w:rPr>
      </w:pPr>
    </w:p>
    <w:p w14:paraId="23B82757" w14:textId="77777777" w:rsidR="00F23EE8" w:rsidRPr="00DC06F8" w:rsidRDefault="00F23EE8" w:rsidP="003C1FAA">
      <w:pPr>
        <w:autoSpaceDE w:val="0"/>
        <w:autoSpaceDN w:val="0"/>
        <w:adjustRightInd w:val="0"/>
        <w:spacing w:after="0" w:line="240" w:lineRule="auto"/>
        <w:contextualSpacing/>
        <w:rPr>
          <w:rFonts w:ascii="Times New Roman" w:hAnsi="Times New Roman"/>
          <w:b/>
          <w:bCs/>
          <w:sz w:val="24"/>
          <w:szCs w:val="24"/>
        </w:rPr>
      </w:pPr>
    </w:p>
    <w:p w14:paraId="6AC9F15F" w14:textId="77777777" w:rsidR="00F23EE8" w:rsidRPr="00DC06F8" w:rsidRDefault="00F23EE8" w:rsidP="003C1FAA">
      <w:pPr>
        <w:autoSpaceDE w:val="0"/>
        <w:autoSpaceDN w:val="0"/>
        <w:adjustRightInd w:val="0"/>
        <w:spacing w:after="0" w:line="240" w:lineRule="auto"/>
        <w:contextualSpacing/>
        <w:rPr>
          <w:rFonts w:ascii="Times New Roman" w:hAnsi="Times New Roman"/>
          <w:b/>
          <w:bCs/>
          <w:sz w:val="24"/>
          <w:szCs w:val="24"/>
        </w:rPr>
      </w:pPr>
    </w:p>
    <w:p w14:paraId="603DAF43" w14:textId="77777777" w:rsidR="00F23EE8" w:rsidRPr="00DC06F8" w:rsidRDefault="00F23EE8" w:rsidP="003C1FAA">
      <w:pPr>
        <w:autoSpaceDE w:val="0"/>
        <w:autoSpaceDN w:val="0"/>
        <w:adjustRightInd w:val="0"/>
        <w:spacing w:after="0" w:line="240" w:lineRule="auto"/>
        <w:contextualSpacing/>
        <w:rPr>
          <w:rFonts w:ascii="Times New Roman" w:hAnsi="Times New Roman"/>
          <w:b/>
          <w:bCs/>
          <w:sz w:val="24"/>
          <w:szCs w:val="24"/>
        </w:rPr>
      </w:pPr>
    </w:p>
    <w:p w14:paraId="397990F4" w14:textId="77777777" w:rsidR="00F23EE8" w:rsidRPr="00DC06F8" w:rsidRDefault="00F23EE8" w:rsidP="003C1FAA">
      <w:pPr>
        <w:autoSpaceDE w:val="0"/>
        <w:autoSpaceDN w:val="0"/>
        <w:adjustRightInd w:val="0"/>
        <w:spacing w:after="0" w:line="240" w:lineRule="auto"/>
        <w:contextualSpacing/>
        <w:rPr>
          <w:rFonts w:ascii="Times New Roman" w:hAnsi="Times New Roman"/>
          <w:b/>
          <w:bCs/>
          <w:sz w:val="24"/>
          <w:szCs w:val="24"/>
        </w:rPr>
      </w:pPr>
    </w:p>
    <w:p w14:paraId="07BAC4E6" w14:textId="714BEB20" w:rsidR="00F23EE8" w:rsidRDefault="00F23EE8" w:rsidP="003C1FAA">
      <w:pPr>
        <w:autoSpaceDE w:val="0"/>
        <w:autoSpaceDN w:val="0"/>
        <w:adjustRightInd w:val="0"/>
        <w:spacing w:after="0" w:line="240" w:lineRule="auto"/>
        <w:contextualSpacing/>
        <w:rPr>
          <w:rFonts w:ascii="Times New Roman" w:hAnsi="Times New Roman"/>
          <w:b/>
          <w:bCs/>
          <w:sz w:val="24"/>
          <w:szCs w:val="24"/>
        </w:rPr>
      </w:pPr>
    </w:p>
    <w:p w14:paraId="0888268F" w14:textId="0F21370D" w:rsidR="00A60351" w:rsidRPr="00BC0F6A" w:rsidRDefault="00182E91" w:rsidP="003C1FAA">
      <w:pPr>
        <w:autoSpaceDE w:val="0"/>
        <w:autoSpaceDN w:val="0"/>
        <w:adjustRightInd w:val="0"/>
        <w:spacing w:after="0" w:line="240" w:lineRule="auto"/>
        <w:contextualSpacing/>
        <w:rPr>
          <w:rFonts w:ascii="Times New Roman" w:hAnsi="Times New Roman"/>
          <w:bCs/>
          <w:i/>
          <w:sz w:val="24"/>
          <w:szCs w:val="24"/>
        </w:rPr>
      </w:pPr>
      <w:r>
        <w:rPr>
          <w:rFonts w:ascii="Times New Roman" w:hAnsi="Times New Roman"/>
          <w:bCs/>
          <w:i/>
          <w:sz w:val="24"/>
          <w:szCs w:val="24"/>
          <w:highlight w:val="yellow"/>
        </w:rPr>
        <w:t>Please</w:t>
      </w:r>
      <w:r w:rsidR="00A60351" w:rsidRPr="00182E91">
        <w:rPr>
          <w:rFonts w:ascii="Times New Roman" w:hAnsi="Times New Roman"/>
          <w:bCs/>
          <w:i/>
          <w:sz w:val="24"/>
          <w:szCs w:val="24"/>
          <w:highlight w:val="yellow"/>
        </w:rPr>
        <w:t xml:space="preserve"> expla</w:t>
      </w:r>
      <w:r>
        <w:rPr>
          <w:rFonts w:ascii="Times New Roman" w:hAnsi="Times New Roman"/>
          <w:bCs/>
          <w:i/>
          <w:sz w:val="24"/>
          <w:szCs w:val="24"/>
          <w:highlight w:val="yellow"/>
        </w:rPr>
        <w:t>i</w:t>
      </w:r>
      <w:r w:rsidR="00A60351" w:rsidRPr="00182E91">
        <w:rPr>
          <w:rFonts w:ascii="Times New Roman" w:hAnsi="Times New Roman"/>
          <w:bCs/>
          <w:i/>
          <w:sz w:val="24"/>
          <w:szCs w:val="24"/>
          <w:highlight w:val="yellow"/>
        </w:rPr>
        <w:t xml:space="preserve">n </w:t>
      </w:r>
      <w:r w:rsidR="001F301C">
        <w:rPr>
          <w:rFonts w:ascii="Times New Roman" w:hAnsi="Times New Roman"/>
          <w:bCs/>
          <w:i/>
          <w:sz w:val="24"/>
          <w:szCs w:val="24"/>
          <w:highlight w:val="yellow"/>
        </w:rPr>
        <w:t xml:space="preserve">any significant </w:t>
      </w:r>
      <w:r>
        <w:rPr>
          <w:rFonts w:ascii="Times New Roman" w:hAnsi="Times New Roman"/>
          <w:bCs/>
          <w:i/>
          <w:sz w:val="24"/>
          <w:szCs w:val="24"/>
          <w:highlight w:val="yellow"/>
        </w:rPr>
        <w:t>increase</w:t>
      </w:r>
      <w:r w:rsidR="001F301C">
        <w:rPr>
          <w:rFonts w:ascii="Times New Roman" w:hAnsi="Times New Roman"/>
          <w:bCs/>
          <w:i/>
          <w:sz w:val="24"/>
          <w:szCs w:val="24"/>
          <w:highlight w:val="yellow"/>
        </w:rPr>
        <w:t xml:space="preserve"> or decrease</w:t>
      </w:r>
      <w:r>
        <w:rPr>
          <w:rFonts w:ascii="Times New Roman" w:hAnsi="Times New Roman"/>
          <w:bCs/>
          <w:i/>
          <w:sz w:val="24"/>
          <w:szCs w:val="24"/>
          <w:highlight w:val="yellow"/>
        </w:rPr>
        <w:t xml:space="preserve"> in investments in Non-federal physical property between FY</w:t>
      </w:r>
      <w:r w:rsidR="00BC18AA">
        <w:rPr>
          <w:rFonts w:ascii="Times New Roman" w:hAnsi="Times New Roman"/>
          <w:bCs/>
          <w:i/>
          <w:sz w:val="24"/>
          <w:szCs w:val="24"/>
          <w:highlight w:val="yellow"/>
        </w:rPr>
        <w:t xml:space="preserve"> 20</w:t>
      </w:r>
      <w:r w:rsidR="000A77EA">
        <w:rPr>
          <w:rFonts w:ascii="Times New Roman" w:hAnsi="Times New Roman"/>
          <w:bCs/>
          <w:i/>
          <w:sz w:val="24"/>
          <w:szCs w:val="24"/>
          <w:highlight w:val="yellow"/>
        </w:rPr>
        <w:t>20</w:t>
      </w:r>
      <w:r>
        <w:rPr>
          <w:rFonts w:ascii="Times New Roman" w:hAnsi="Times New Roman"/>
          <w:bCs/>
          <w:i/>
          <w:sz w:val="24"/>
          <w:szCs w:val="24"/>
          <w:highlight w:val="yellow"/>
        </w:rPr>
        <w:t xml:space="preserve"> and FY</w:t>
      </w:r>
      <w:r w:rsidR="00BC18AA">
        <w:rPr>
          <w:rFonts w:ascii="Times New Roman" w:hAnsi="Times New Roman"/>
          <w:bCs/>
          <w:i/>
          <w:sz w:val="24"/>
          <w:szCs w:val="24"/>
          <w:highlight w:val="yellow"/>
        </w:rPr>
        <w:t xml:space="preserve"> 20</w:t>
      </w:r>
      <w:r w:rsidR="000A77EA">
        <w:rPr>
          <w:rFonts w:ascii="Times New Roman" w:hAnsi="Times New Roman"/>
          <w:bCs/>
          <w:i/>
          <w:sz w:val="24"/>
          <w:szCs w:val="24"/>
          <w:highlight w:val="yellow"/>
        </w:rPr>
        <w:t>21</w:t>
      </w:r>
      <w:r w:rsidR="00A60351" w:rsidRPr="00182E91">
        <w:rPr>
          <w:rFonts w:ascii="Times New Roman" w:hAnsi="Times New Roman"/>
          <w:bCs/>
          <w:i/>
          <w:sz w:val="24"/>
          <w:szCs w:val="24"/>
          <w:highlight w:val="yellow"/>
        </w:rPr>
        <w:t>.</w:t>
      </w:r>
    </w:p>
    <w:p w14:paraId="23206062" w14:textId="77777777" w:rsidR="00F23EE8" w:rsidRPr="00DC06F8" w:rsidRDefault="00F23EE8" w:rsidP="003C1FAA">
      <w:pPr>
        <w:autoSpaceDE w:val="0"/>
        <w:autoSpaceDN w:val="0"/>
        <w:adjustRightInd w:val="0"/>
        <w:spacing w:after="0" w:line="240" w:lineRule="auto"/>
        <w:contextualSpacing/>
        <w:rPr>
          <w:rFonts w:ascii="Times New Roman" w:hAnsi="Times New Roman"/>
          <w:b/>
          <w:bCs/>
          <w:sz w:val="24"/>
          <w:szCs w:val="24"/>
        </w:rPr>
      </w:pPr>
    </w:p>
    <w:p w14:paraId="20538430" w14:textId="51A8D7DA" w:rsidR="003C1FAA" w:rsidRDefault="003C1FAA" w:rsidP="003C1FAA">
      <w:pPr>
        <w:autoSpaceDE w:val="0"/>
        <w:autoSpaceDN w:val="0"/>
        <w:adjustRightInd w:val="0"/>
        <w:spacing w:after="0" w:line="240" w:lineRule="auto"/>
        <w:contextualSpacing/>
        <w:rPr>
          <w:rFonts w:ascii="Times New Roman" w:hAnsi="Times New Roman"/>
          <w:color w:val="221E1F"/>
          <w:sz w:val="24"/>
          <w:szCs w:val="24"/>
        </w:rPr>
      </w:pPr>
      <w:r w:rsidRPr="00DC06F8">
        <w:rPr>
          <w:rFonts w:ascii="Times New Roman" w:hAnsi="Times New Roman"/>
          <w:b/>
          <w:bCs/>
          <w:sz w:val="24"/>
          <w:szCs w:val="24"/>
        </w:rPr>
        <w:t xml:space="preserve">National Estuarine Research Reserves (NERR): </w:t>
      </w:r>
      <w:r w:rsidRPr="00DC06F8">
        <w:rPr>
          <w:rFonts w:ascii="Times New Roman" w:hAnsi="Times New Roman"/>
          <w:color w:val="221E1F"/>
          <w:sz w:val="24"/>
          <w:szCs w:val="24"/>
        </w:rPr>
        <w:t xml:space="preserve">NERR system consists of </w:t>
      </w:r>
      <w:r w:rsidR="0018505F">
        <w:rPr>
          <w:rFonts w:ascii="Times New Roman" w:hAnsi="Times New Roman"/>
          <w:color w:val="221E1F"/>
          <w:sz w:val="24"/>
          <w:szCs w:val="24"/>
        </w:rPr>
        <w:t xml:space="preserve">29 </w:t>
      </w:r>
      <w:r w:rsidRPr="00FB56B8">
        <w:rPr>
          <w:rFonts w:ascii="Times New Roman" w:hAnsi="Times New Roman"/>
          <w:color w:val="221E1F"/>
          <w:sz w:val="24"/>
          <w:szCs w:val="24"/>
        </w:rPr>
        <w:t>estuarine reserves</w:t>
      </w:r>
      <w:r w:rsidRPr="00DC06F8">
        <w:rPr>
          <w:rFonts w:ascii="Times New Roman" w:hAnsi="Times New Roman"/>
          <w:color w:val="221E1F"/>
          <w:sz w:val="24"/>
          <w:szCs w:val="24"/>
        </w:rPr>
        <w:t xml:space="preserve"> protected by federal, state, and local partnerships that work to preserve and protect the Nation’s estuaries. NERRs are state</w:t>
      </w:r>
      <w:r w:rsidRPr="003C1FAA">
        <w:rPr>
          <w:rFonts w:ascii="Times New Roman" w:hAnsi="Times New Roman"/>
          <w:color w:val="221E1F"/>
          <w:sz w:val="24"/>
          <w:szCs w:val="24"/>
        </w:rPr>
        <w:t>-op</w:t>
      </w:r>
      <w:r w:rsidRPr="00BE6C3D">
        <w:rPr>
          <w:rFonts w:ascii="Times New Roman" w:hAnsi="Times New Roman"/>
          <w:color w:val="221E1F"/>
          <w:sz w:val="24"/>
          <w:szCs w:val="24"/>
        </w:rPr>
        <w:t>erated and managed in cooperation with NOAA. NOAA’s investments in non-federal physical property are for the acquisition of lands and development or construction of facilities, auxiliary structures, and public access routes for any NERR site.</w:t>
      </w:r>
    </w:p>
    <w:p w14:paraId="5387245E" w14:textId="77777777" w:rsidR="00E3686A" w:rsidRPr="00BE6C3D" w:rsidRDefault="00E3686A" w:rsidP="003C1FAA">
      <w:pPr>
        <w:autoSpaceDE w:val="0"/>
        <w:autoSpaceDN w:val="0"/>
        <w:adjustRightInd w:val="0"/>
        <w:spacing w:after="0" w:line="240" w:lineRule="auto"/>
        <w:contextualSpacing/>
        <w:rPr>
          <w:rFonts w:ascii="Times New Roman" w:hAnsi="Times New Roman"/>
          <w:sz w:val="24"/>
          <w:szCs w:val="24"/>
        </w:rPr>
      </w:pPr>
    </w:p>
    <w:p w14:paraId="5EBE83BA" w14:textId="33B00E76" w:rsidR="003724B6" w:rsidRDefault="003C1FAA" w:rsidP="003C1FAA">
      <w:pPr>
        <w:spacing w:line="240" w:lineRule="auto"/>
        <w:contextualSpacing/>
        <w:rPr>
          <w:rFonts w:ascii="Times New Roman" w:hAnsi="Times New Roman"/>
          <w:color w:val="221E1F"/>
          <w:sz w:val="24"/>
          <w:szCs w:val="24"/>
        </w:rPr>
      </w:pPr>
      <w:r w:rsidRPr="00BE6C3D">
        <w:rPr>
          <w:rFonts w:ascii="Times New Roman" w:hAnsi="Times New Roman"/>
          <w:b/>
          <w:bCs/>
          <w:sz w:val="24"/>
          <w:szCs w:val="24"/>
        </w:rPr>
        <w:t xml:space="preserve">Coastal and Estuarine Land Conservation Program: </w:t>
      </w:r>
      <w:r w:rsidR="0018505F">
        <w:rPr>
          <w:rFonts w:ascii="Times New Roman" w:hAnsi="Times New Roman"/>
          <w:bCs/>
          <w:sz w:val="24"/>
          <w:szCs w:val="24"/>
        </w:rPr>
        <w:t xml:space="preserve">This program was established under the Commerce, Justice, and State Appropriations Act of 2002, for the </w:t>
      </w:r>
      <w:r w:rsidRPr="00BE6C3D">
        <w:rPr>
          <w:rFonts w:ascii="Times New Roman" w:hAnsi="Times New Roman"/>
          <w:color w:val="221E1F"/>
          <w:sz w:val="24"/>
          <w:szCs w:val="24"/>
        </w:rPr>
        <w:t xml:space="preserve">purpose </w:t>
      </w:r>
      <w:r w:rsidR="00A40901">
        <w:rPr>
          <w:rFonts w:ascii="Times New Roman" w:hAnsi="Times New Roman"/>
          <w:color w:val="221E1F"/>
          <w:sz w:val="24"/>
          <w:szCs w:val="24"/>
        </w:rPr>
        <w:t xml:space="preserve">of </w:t>
      </w:r>
      <w:r w:rsidR="0018505F">
        <w:rPr>
          <w:rFonts w:ascii="Times New Roman" w:hAnsi="Times New Roman"/>
          <w:color w:val="221E1F"/>
          <w:sz w:val="24"/>
          <w:szCs w:val="24"/>
        </w:rPr>
        <w:t xml:space="preserve">protecting </w:t>
      </w:r>
      <w:r w:rsidRPr="00BE6C3D">
        <w:rPr>
          <w:rFonts w:ascii="Times New Roman" w:hAnsi="Times New Roman"/>
          <w:color w:val="221E1F"/>
          <w:sz w:val="24"/>
          <w:szCs w:val="24"/>
        </w:rPr>
        <w:t>important coastal and estuarine areas that have significant conservation, recreation, ecological, historical, or aesthetic values, or that are threatened by conversion from their natural or recreational state to other uses. The investments in non-federal physical property include</w:t>
      </w:r>
      <w:r w:rsidR="003724B6">
        <w:rPr>
          <w:rFonts w:ascii="Times New Roman" w:hAnsi="Times New Roman"/>
          <w:color w:val="221E1F"/>
          <w:sz w:val="24"/>
          <w:szCs w:val="24"/>
        </w:rPr>
        <w:t xml:space="preserve"> </w:t>
      </w:r>
      <w:r w:rsidR="003724B6" w:rsidRPr="00BE6C3D">
        <w:rPr>
          <w:rFonts w:ascii="Times New Roman" w:hAnsi="Times New Roman"/>
          <w:color w:val="221E1F"/>
          <w:sz w:val="24"/>
          <w:szCs w:val="24"/>
        </w:rPr>
        <w:lastRenderedPageBreak/>
        <w:t xml:space="preserve">matching grants awarded to state and local governments for land acquisition in coastal and estuarine </w:t>
      </w:r>
      <w:r w:rsidR="003724B6" w:rsidRPr="00FE6AED">
        <w:rPr>
          <w:rFonts w:ascii="Times New Roman" w:hAnsi="Times New Roman"/>
          <w:color w:val="221E1F"/>
          <w:sz w:val="24"/>
          <w:szCs w:val="24"/>
        </w:rPr>
        <w:t>areas.</w:t>
      </w:r>
    </w:p>
    <w:p w14:paraId="49DB68ED" w14:textId="77777777" w:rsidR="0018505F" w:rsidRDefault="0018505F" w:rsidP="003C1FAA">
      <w:pPr>
        <w:spacing w:line="240" w:lineRule="auto"/>
        <w:contextualSpacing/>
        <w:rPr>
          <w:rFonts w:ascii="Times New Roman" w:hAnsi="Times New Roman"/>
          <w:color w:val="221E1F"/>
          <w:sz w:val="24"/>
          <w:szCs w:val="24"/>
        </w:rPr>
      </w:pPr>
    </w:p>
    <w:p w14:paraId="0DE570D2" w14:textId="77777777" w:rsidR="003724B6" w:rsidRPr="00BE6C3D" w:rsidRDefault="003724B6" w:rsidP="008646F0">
      <w:pPr>
        <w:spacing w:after="0" w:line="240" w:lineRule="auto"/>
        <w:rPr>
          <w:rFonts w:ascii="Times New Roman" w:hAnsi="Times New Roman"/>
          <w:b/>
          <w:bCs/>
          <w:i/>
          <w:iCs/>
          <w:color w:val="000000"/>
          <w:sz w:val="24"/>
          <w:szCs w:val="24"/>
          <w:u w:val="single"/>
        </w:rPr>
      </w:pPr>
      <w:r w:rsidRPr="00BE6C3D">
        <w:rPr>
          <w:rFonts w:ascii="Times New Roman" w:hAnsi="Times New Roman"/>
          <w:b/>
          <w:bCs/>
          <w:i/>
          <w:iCs/>
          <w:color w:val="000000"/>
          <w:sz w:val="24"/>
          <w:szCs w:val="24"/>
          <w:u w:val="single"/>
        </w:rPr>
        <w:t>Investments in Human Capital:</w:t>
      </w:r>
    </w:p>
    <w:p w14:paraId="3625DC24" w14:textId="77777777" w:rsidR="003724B6" w:rsidRPr="00BE6C3D" w:rsidRDefault="003724B6" w:rsidP="003724B6">
      <w:pPr>
        <w:autoSpaceDE w:val="0"/>
        <w:autoSpaceDN w:val="0"/>
        <w:adjustRightInd w:val="0"/>
        <w:spacing w:after="0" w:line="240" w:lineRule="auto"/>
        <w:rPr>
          <w:rFonts w:ascii="Times New Roman" w:hAnsi="Times New Roman"/>
          <w:color w:val="000000"/>
          <w:sz w:val="24"/>
          <w:szCs w:val="24"/>
        </w:rPr>
      </w:pPr>
    </w:p>
    <w:p w14:paraId="657B1F3A" w14:textId="41A352D5" w:rsidR="003724B6" w:rsidRPr="00BE6C3D" w:rsidRDefault="0018505F" w:rsidP="003724B6">
      <w:pPr>
        <w:autoSpaceDE w:val="0"/>
        <w:autoSpaceDN w:val="0"/>
        <w:adjustRightInd w:val="0"/>
        <w:spacing w:after="0" w:line="240" w:lineRule="auto"/>
        <w:rPr>
          <w:rFonts w:ascii="Times New Roman" w:hAnsi="Times New Roman"/>
          <w:color w:val="221E1F"/>
          <w:sz w:val="24"/>
          <w:szCs w:val="24"/>
        </w:rPr>
      </w:pPr>
      <w:r>
        <w:rPr>
          <w:rFonts w:ascii="Times New Roman" w:hAnsi="Times New Roman"/>
          <w:color w:val="221E1F"/>
          <w:sz w:val="24"/>
          <w:szCs w:val="24"/>
        </w:rPr>
        <w:t>These investments are for</w:t>
      </w:r>
      <w:r w:rsidR="003724B6" w:rsidRPr="00BE6C3D">
        <w:rPr>
          <w:rFonts w:ascii="Times New Roman" w:hAnsi="Times New Roman"/>
          <w:color w:val="221E1F"/>
          <w:sz w:val="24"/>
          <w:szCs w:val="24"/>
        </w:rPr>
        <w:t xml:space="preserve"> education and training programs that are intended to increase or maintain national economic productive capacity and produce outputs and outcomes that provide evidence of the constant or increasing national productive capacity. These investments exclude education and training expenses for federal civilian and military personnel. </w:t>
      </w:r>
      <w:r>
        <w:rPr>
          <w:rFonts w:ascii="Times New Roman" w:hAnsi="Times New Roman"/>
          <w:color w:val="221E1F"/>
          <w:sz w:val="24"/>
          <w:szCs w:val="24"/>
        </w:rPr>
        <w:t>T</w:t>
      </w:r>
      <w:r w:rsidR="003724B6" w:rsidRPr="00BE6C3D">
        <w:rPr>
          <w:rFonts w:ascii="Times New Roman" w:hAnsi="Times New Roman"/>
          <w:color w:val="221E1F"/>
          <w:sz w:val="24"/>
          <w:szCs w:val="24"/>
        </w:rPr>
        <w:t>he most significant investments in human capital are by NOAA.</w:t>
      </w:r>
    </w:p>
    <w:p w14:paraId="6F051D33" w14:textId="77777777" w:rsidR="00F973DD" w:rsidRDefault="00F973DD" w:rsidP="00F973DD">
      <w:pPr>
        <w:spacing w:after="0" w:line="240" w:lineRule="auto"/>
        <w:rPr>
          <w:rFonts w:ascii="Times New Roman" w:hAnsi="Times New Roman"/>
          <w:color w:val="000000"/>
          <w:sz w:val="24"/>
          <w:szCs w:val="24"/>
        </w:rPr>
      </w:pPr>
    </w:p>
    <w:p w14:paraId="5BA53771" w14:textId="31B81D5E" w:rsidR="003724B6" w:rsidRPr="00BE6C3D" w:rsidRDefault="003724B6" w:rsidP="00F973DD">
      <w:pPr>
        <w:spacing w:after="0" w:line="240" w:lineRule="auto"/>
        <w:rPr>
          <w:rFonts w:ascii="Times New Roman" w:hAnsi="Times New Roman"/>
          <w:color w:val="000000"/>
          <w:sz w:val="24"/>
          <w:szCs w:val="24"/>
        </w:rPr>
      </w:pPr>
      <w:r w:rsidRPr="00BE6C3D">
        <w:rPr>
          <w:rFonts w:ascii="Times New Roman" w:hAnsi="Times New Roman"/>
          <w:color w:val="000000"/>
          <w:sz w:val="24"/>
          <w:szCs w:val="24"/>
        </w:rPr>
        <w:t>The following table summarizes NOAA’s investments in human capital for FY 20</w:t>
      </w:r>
      <w:r w:rsidR="00D44DE8">
        <w:rPr>
          <w:rFonts w:ascii="Times New Roman" w:hAnsi="Times New Roman"/>
          <w:color w:val="000000"/>
          <w:sz w:val="24"/>
          <w:szCs w:val="24"/>
        </w:rPr>
        <w:t>20</w:t>
      </w:r>
      <w:r w:rsidR="00DC06F8">
        <w:rPr>
          <w:rFonts w:ascii="Times New Roman" w:hAnsi="Times New Roman"/>
          <w:color w:val="000000"/>
          <w:sz w:val="24"/>
          <w:szCs w:val="24"/>
        </w:rPr>
        <w:t xml:space="preserve"> and </w:t>
      </w:r>
      <w:r w:rsidR="00207BF5">
        <w:rPr>
          <w:rFonts w:ascii="Times New Roman" w:hAnsi="Times New Roman"/>
          <w:color w:val="000000"/>
          <w:sz w:val="24"/>
          <w:szCs w:val="24"/>
        </w:rPr>
        <w:t>FY 202</w:t>
      </w:r>
      <w:r w:rsidR="00D44DE8">
        <w:rPr>
          <w:rFonts w:ascii="Times New Roman" w:hAnsi="Times New Roman"/>
          <w:color w:val="000000"/>
          <w:sz w:val="24"/>
          <w:szCs w:val="24"/>
        </w:rPr>
        <w:t>1</w:t>
      </w:r>
      <w:r w:rsidRPr="00BE6C3D">
        <w:rPr>
          <w:rFonts w:ascii="Times New Roman" w:hAnsi="Times New Roman"/>
          <w:color w:val="000000"/>
          <w:sz w:val="24"/>
          <w:szCs w:val="24"/>
        </w:rPr>
        <w:t xml:space="preserve"> (in millions):</w:t>
      </w:r>
    </w:p>
    <w:p w14:paraId="6C4CCA8E" w14:textId="77777777" w:rsidR="003724B6" w:rsidRPr="00BE6C3D" w:rsidRDefault="003724B6" w:rsidP="003724B6">
      <w:pPr>
        <w:autoSpaceDE w:val="0"/>
        <w:autoSpaceDN w:val="0"/>
        <w:adjustRightInd w:val="0"/>
        <w:spacing w:after="0" w:line="240" w:lineRule="auto"/>
        <w:rPr>
          <w:rFonts w:ascii="Times New Roman" w:eastAsia="Times New Roman" w:hAnsi="Times New Roman"/>
          <w:b/>
          <w:bCs/>
          <w:i/>
          <w:iCs/>
          <w:color w:val="000000"/>
          <w:sz w:val="24"/>
          <w:szCs w:val="24"/>
        </w:rPr>
      </w:pPr>
    </w:p>
    <w:tbl>
      <w:tblPr>
        <w:tblW w:w="79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0"/>
        <w:gridCol w:w="845"/>
        <w:gridCol w:w="845"/>
        <w:gridCol w:w="846"/>
      </w:tblGrid>
      <w:tr w:rsidR="00DC06F8" w:rsidRPr="00BE6C3D" w14:paraId="2D3600AD" w14:textId="77777777" w:rsidTr="007F3490">
        <w:trPr>
          <w:trHeight w:val="362"/>
        </w:trPr>
        <w:tc>
          <w:tcPr>
            <w:tcW w:w="5380" w:type="dxa"/>
            <w:shd w:val="clear" w:color="auto" w:fill="000000"/>
            <w:noWrap/>
            <w:tcMar>
              <w:top w:w="15" w:type="dxa"/>
              <w:left w:w="15" w:type="dxa"/>
              <w:bottom w:w="0" w:type="dxa"/>
              <w:right w:w="15" w:type="dxa"/>
            </w:tcMar>
            <w:vAlign w:val="bottom"/>
          </w:tcPr>
          <w:p w14:paraId="5903A7FD" w14:textId="77777777" w:rsidR="00DC06F8" w:rsidRPr="00BE6C3D" w:rsidRDefault="00DC06F8" w:rsidP="00FA0EC3">
            <w:pPr>
              <w:spacing w:after="0" w:line="240" w:lineRule="auto"/>
              <w:jc w:val="center"/>
              <w:rPr>
                <w:rFonts w:ascii="Times New Roman" w:eastAsia="Arial Unicode MS" w:hAnsi="Times New Roman"/>
                <w:b/>
                <w:bCs/>
                <w:sz w:val="24"/>
                <w:szCs w:val="24"/>
              </w:rPr>
            </w:pPr>
            <w:r w:rsidRPr="00BE6C3D">
              <w:rPr>
                <w:rFonts w:ascii="Times New Roman" w:eastAsia="Times New Roman" w:hAnsi="Times New Roman"/>
                <w:b/>
                <w:bCs/>
                <w:sz w:val="24"/>
                <w:szCs w:val="24"/>
              </w:rPr>
              <w:t xml:space="preserve">                             </w:t>
            </w:r>
          </w:p>
        </w:tc>
        <w:tc>
          <w:tcPr>
            <w:tcW w:w="845" w:type="dxa"/>
            <w:shd w:val="clear" w:color="auto" w:fill="000000"/>
          </w:tcPr>
          <w:p w14:paraId="7C507F3B" w14:textId="7F4B66B4" w:rsidR="00DC06F8" w:rsidRPr="00DC06F8" w:rsidRDefault="00DC06F8" w:rsidP="00FA0EC3">
            <w:pPr>
              <w:spacing w:after="0" w:line="240" w:lineRule="auto"/>
              <w:jc w:val="center"/>
              <w:rPr>
                <w:rFonts w:ascii="Times New Roman" w:eastAsia="Arial Unicode MS" w:hAnsi="Times New Roman"/>
                <w:b/>
                <w:bCs/>
                <w:color w:val="FFFFFF"/>
                <w:sz w:val="24"/>
                <w:szCs w:val="24"/>
              </w:rPr>
            </w:pPr>
            <w:r w:rsidRPr="00DC06F8">
              <w:rPr>
                <w:rFonts w:ascii="Times New Roman" w:eastAsia="Arial Unicode MS" w:hAnsi="Times New Roman"/>
                <w:b/>
                <w:bCs/>
                <w:color w:val="FFFFFF"/>
                <w:sz w:val="24"/>
                <w:szCs w:val="24"/>
              </w:rPr>
              <w:t>FY 202</w:t>
            </w:r>
            <w:r w:rsidR="00D44DE8">
              <w:rPr>
                <w:rFonts w:ascii="Times New Roman" w:eastAsia="Arial Unicode MS" w:hAnsi="Times New Roman"/>
                <w:b/>
                <w:bCs/>
                <w:color w:val="FFFFFF"/>
                <w:sz w:val="24"/>
                <w:szCs w:val="24"/>
              </w:rPr>
              <w:t>1</w:t>
            </w:r>
          </w:p>
        </w:tc>
        <w:tc>
          <w:tcPr>
            <w:tcW w:w="845" w:type="dxa"/>
            <w:shd w:val="clear" w:color="auto" w:fill="000000"/>
            <w:vAlign w:val="bottom"/>
          </w:tcPr>
          <w:p w14:paraId="372DF0F9" w14:textId="0AAFF324" w:rsidR="00DC06F8" w:rsidRPr="00056ED5" w:rsidRDefault="00DC06F8" w:rsidP="00FA0EC3">
            <w:pPr>
              <w:spacing w:after="0" w:line="240" w:lineRule="auto"/>
              <w:jc w:val="center"/>
              <w:rPr>
                <w:rFonts w:ascii="Times New Roman" w:eastAsia="Arial Unicode MS" w:hAnsi="Times New Roman"/>
                <w:b/>
                <w:bCs/>
                <w:color w:val="FFFFFF"/>
                <w:sz w:val="24"/>
                <w:szCs w:val="24"/>
              </w:rPr>
            </w:pPr>
            <w:r w:rsidRPr="00056ED5">
              <w:rPr>
                <w:rFonts w:ascii="Times New Roman" w:eastAsia="Arial Unicode MS" w:hAnsi="Times New Roman"/>
                <w:b/>
                <w:bCs/>
                <w:color w:val="FFFFFF"/>
                <w:sz w:val="24"/>
                <w:szCs w:val="24"/>
              </w:rPr>
              <w:t>FY 20</w:t>
            </w:r>
            <w:r w:rsidR="00D44DE8">
              <w:rPr>
                <w:rFonts w:ascii="Times New Roman" w:eastAsia="Arial Unicode MS" w:hAnsi="Times New Roman"/>
                <w:b/>
                <w:bCs/>
                <w:color w:val="FFFFFF"/>
                <w:sz w:val="24"/>
                <w:szCs w:val="24"/>
              </w:rPr>
              <w:t>20</w:t>
            </w:r>
          </w:p>
        </w:tc>
        <w:tc>
          <w:tcPr>
            <w:tcW w:w="846" w:type="dxa"/>
            <w:shd w:val="solid" w:color="auto" w:fill="auto"/>
            <w:vAlign w:val="bottom"/>
          </w:tcPr>
          <w:p w14:paraId="2E1315BF" w14:textId="77777777" w:rsidR="00DC06F8" w:rsidRPr="00DC06F8" w:rsidRDefault="00DC06F8" w:rsidP="00FA0EC3">
            <w:pPr>
              <w:autoSpaceDE w:val="0"/>
              <w:autoSpaceDN w:val="0"/>
              <w:adjustRightInd w:val="0"/>
              <w:spacing w:after="0" w:line="240" w:lineRule="auto"/>
              <w:jc w:val="center"/>
              <w:rPr>
                <w:rFonts w:ascii="Times New Roman" w:eastAsia="Times New Roman" w:hAnsi="Times New Roman"/>
                <w:b/>
                <w:color w:val="FFFFFF"/>
                <w:sz w:val="24"/>
                <w:szCs w:val="24"/>
              </w:rPr>
            </w:pPr>
            <w:r w:rsidRPr="00DC06F8">
              <w:rPr>
                <w:rFonts w:ascii="Times New Roman" w:eastAsia="Times New Roman" w:hAnsi="Times New Roman"/>
                <w:b/>
                <w:color w:val="FFFFFF"/>
                <w:sz w:val="24"/>
                <w:szCs w:val="24"/>
              </w:rPr>
              <w:t>Total</w:t>
            </w:r>
          </w:p>
        </w:tc>
      </w:tr>
      <w:tr w:rsidR="00DC06F8" w:rsidRPr="00207BF5" w14:paraId="3A36BA53" w14:textId="77777777" w:rsidTr="007F3490">
        <w:trPr>
          <w:trHeight w:val="255"/>
        </w:trPr>
        <w:tc>
          <w:tcPr>
            <w:tcW w:w="5380" w:type="dxa"/>
            <w:noWrap/>
            <w:tcMar>
              <w:top w:w="15" w:type="dxa"/>
              <w:left w:w="15" w:type="dxa"/>
              <w:bottom w:w="0" w:type="dxa"/>
              <w:right w:w="15" w:type="dxa"/>
            </w:tcMar>
            <w:vAlign w:val="bottom"/>
          </w:tcPr>
          <w:p w14:paraId="0BC4C0D9" w14:textId="77777777" w:rsidR="00DC06F8" w:rsidRPr="00BE6C3D" w:rsidRDefault="00DC06F8" w:rsidP="00207BF5">
            <w:pPr>
              <w:spacing w:after="0" w:line="240" w:lineRule="auto"/>
              <w:rPr>
                <w:rFonts w:ascii="Times New Roman" w:eastAsia="Arial Unicode MS" w:hAnsi="Times New Roman"/>
                <w:sz w:val="24"/>
                <w:szCs w:val="24"/>
              </w:rPr>
            </w:pPr>
            <w:r w:rsidRPr="00BE6C3D">
              <w:rPr>
                <w:rFonts w:ascii="Times New Roman" w:eastAsia="Times New Roman" w:hAnsi="Times New Roman"/>
                <w:sz w:val="24"/>
                <w:szCs w:val="24"/>
              </w:rPr>
              <w:t>Educational Partnership Program</w:t>
            </w:r>
          </w:p>
        </w:tc>
        <w:tc>
          <w:tcPr>
            <w:tcW w:w="845" w:type="dxa"/>
          </w:tcPr>
          <w:p w14:paraId="1626E9B3" w14:textId="1B0F6759" w:rsidR="00DC06F8" w:rsidRPr="008646F0" w:rsidRDefault="00D44DE8" w:rsidP="00207BF5">
            <w:pPr>
              <w:spacing w:after="0" w:line="240" w:lineRule="auto"/>
              <w:jc w:val="right"/>
              <w:rPr>
                <w:rFonts w:ascii="Times New Roman" w:eastAsia="Arial Unicode MS" w:hAnsi="Times New Roman"/>
                <w:sz w:val="24"/>
                <w:szCs w:val="24"/>
                <w:highlight w:val="red"/>
              </w:rPr>
            </w:pPr>
            <w:r>
              <w:rPr>
                <w:rFonts w:ascii="Times New Roman" w:eastAsia="Arial Unicode MS" w:hAnsi="Times New Roman"/>
                <w:sz w:val="24"/>
                <w:szCs w:val="24"/>
                <w:highlight w:val="red"/>
              </w:rPr>
              <w:t>$</w:t>
            </w:r>
            <w:r w:rsidR="00DC06F8" w:rsidRPr="008646F0">
              <w:rPr>
                <w:rFonts w:ascii="Times New Roman" w:eastAsia="Arial Unicode MS" w:hAnsi="Times New Roman"/>
                <w:sz w:val="24"/>
                <w:szCs w:val="24"/>
                <w:highlight w:val="red"/>
              </w:rPr>
              <w:t>0</w:t>
            </w:r>
          </w:p>
        </w:tc>
        <w:tc>
          <w:tcPr>
            <w:tcW w:w="845" w:type="dxa"/>
          </w:tcPr>
          <w:p w14:paraId="6DE03996" w14:textId="421B4DE5" w:rsidR="00DC06F8" w:rsidRPr="00DC06F8" w:rsidRDefault="00DC06F8" w:rsidP="00207BF5">
            <w:pPr>
              <w:spacing w:after="0" w:line="240" w:lineRule="auto"/>
              <w:jc w:val="right"/>
              <w:rPr>
                <w:rFonts w:ascii="Times New Roman" w:eastAsia="Arial Unicode MS" w:hAnsi="Times New Roman"/>
                <w:sz w:val="24"/>
                <w:szCs w:val="24"/>
              </w:rPr>
            </w:pPr>
            <w:r w:rsidRPr="00DC06F8">
              <w:rPr>
                <w:rFonts w:ascii="Times New Roman" w:eastAsia="Arial Unicode MS" w:hAnsi="Times New Roman"/>
                <w:sz w:val="24"/>
                <w:szCs w:val="24"/>
              </w:rPr>
              <w:t>$1</w:t>
            </w:r>
            <w:r w:rsidR="004044C3">
              <w:rPr>
                <w:rFonts w:ascii="Times New Roman" w:eastAsia="Arial Unicode MS" w:hAnsi="Times New Roman"/>
                <w:sz w:val="24"/>
                <w:szCs w:val="24"/>
              </w:rPr>
              <w:t>6</w:t>
            </w:r>
            <w:r w:rsidRPr="00DC06F8">
              <w:rPr>
                <w:rFonts w:ascii="Times New Roman" w:eastAsia="Arial Unicode MS" w:hAnsi="Times New Roman"/>
                <w:sz w:val="24"/>
                <w:szCs w:val="24"/>
              </w:rPr>
              <w:t>.0</w:t>
            </w:r>
          </w:p>
        </w:tc>
        <w:tc>
          <w:tcPr>
            <w:tcW w:w="846" w:type="dxa"/>
            <w:vAlign w:val="bottom"/>
          </w:tcPr>
          <w:p w14:paraId="0923B72C" w14:textId="53F30A2A" w:rsidR="00DC06F8" w:rsidRPr="008646F0" w:rsidRDefault="00DC06F8">
            <w:pPr>
              <w:spacing w:after="0" w:line="240" w:lineRule="auto"/>
              <w:jc w:val="right"/>
              <w:rPr>
                <w:rFonts w:ascii="Times New Roman" w:eastAsia="Times New Roman" w:hAnsi="Times New Roman"/>
                <w:b/>
                <w:i/>
                <w:sz w:val="24"/>
                <w:szCs w:val="24"/>
                <w:highlight w:val="red"/>
              </w:rPr>
            </w:pPr>
            <w:r w:rsidRPr="008646F0">
              <w:rPr>
                <w:rFonts w:ascii="Times New Roman" w:eastAsia="Times New Roman" w:hAnsi="Times New Roman"/>
                <w:b/>
                <w:sz w:val="24"/>
                <w:szCs w:val="24"/>
                <w:highlight w:val="red"/>
              </w:rPr>
              <w:t>$</w:t>
            </w:r>
            <w:r w:rsidR="00D44DE8">
              <w:rPr>
                <w:rFonts w:ascii="Times New Roman" w:eastAsia="Times New Roman" w:hAnsi="Times New Roman"/>
                <w:b/>
                <w:sz w:val="24"/>
                <w:szCs w:val="24"/>
                <w:highlight w:val="red"/>
              </w:rPr>
              <w:t>1</w:t>
            </w:r>
            <w:r w:rsidR="004044C3">
              <w:rPr>
                <w:rFonts w:ascii="Times New Roman" w:eastAsia="Times New Roman" w:hAnsi="Times New Roman"/>
                <w:b/>
                <w:sz w:val="24"/>
                <w:szCs w:val="24"/>
                <w:highlight w:val="red"/>
              </w:rPr>
              <w:t>6</w:t>
            </w:r>
            <w:r w:rsidR="00D44DE8">
              <w:rPr>
                <w:rFonts w:ascii="Times New Roman" w:eastAsia="Times New Roman" w:hAnsi="Times New Roman"/>
                <w:b/>
                <w:sz w:val="24"/>
                <w:szCs w:val="24"/>
                <w:highlight w:val="red"/>
              </w:rPr>
              <w:t>.0</w:t>
            </w:r>
          </w:p>
        </w:tc>
      </w:tr>
      <w:tr w:rsidR="00DC06F8" w:rsidRPr="00207BF5" w14:paraId="202DB964" w14:textId="77777777" w:rsidTr="007F3490">
        <w:trPr>
          <w:trHeight w:val="255"/>
        </w:trPr>
        <w:tc>
          <w:tcPr>
            <w:tcW w:w="5380" w:type="dxa"/>
            <w:noWrap/>
            <w:tcMar>
              <w:top w:w="15" w:type="dxa"/>
              <w:left w:w="15" w:type="dxa"/>
              <w:bottom w:w="0" w:type="dxa"/>
              <w:right w:w="15" w:type="dxa"/>
            </w:tcMar>
            <w:vAlign w:val="bottom"/>
          </w:tcPr>
          <w:p w14:paraId="6096C37D" w14:textId="77777777" w:rsidR="00DC06F8" w:rsidRPr="00BE6C3D" w:rsidRDefault="00DC06F8" w:rsidP="00207BF5">
            <w:pPr>
              <w:spacing w:after="0" w:line="240" w:lineRule="auto"/>
              <w:rPr>
                <w:rFonts w:ascii="Times New Roman" w:eastAsia="Arial Unicode MS" w:hAnsi="Times New Roman"/>
                <w:sz w:val="24"/>
                <w:szCs w:val="24"/>
              </w:rPr>
            </w:pPr>
            <w:r w:rsidRPr="00BE6C3D">
              <w:rPr>
                <w:rFonts w:ascii="Times New Roman" w:eastAsia="Times New Roman" w:hAnsi="Times New Roman"/>
                <w:sz w:val="24"/>
                <w:szCs w:val="24"/>
              </w:rPr>
              <w:t>Ernest F. Hollings Undergraduate Scholarship Program</w:t>
            </w:r>
          </w:p>
        </w:tc>
        <w:tc>
          <w:tcPr>
            <w:tcW w:w="845" w:type="dxa"/>
            <w:vAlign w:val="bottom"/>
          </w:tcPr>
          <w:p w14:paraId="12D67B3D" w14:textId="212B9E77" w:rsidR="00DC06F8" w:rsidRPr="008646F0" w:rsidRDefault="00D44DE8" w:rsidP="00207BF5">
            <w:pPr>
              <w:spacing w:after="0" w:line="240" w:lineRule="auto"/>
              <w:jc w:val="right"/>
              <w:rPr>
                <w:rFonts w:ascii="Times New Roman" w:eastAsia="Arial Unicode MS" w:hAnsi="Times New Roman"/>
                <w:sz w:val="24"/>
                <w:szCs w:val="24"/>
                <w:highlight w:val="red"/>
              </w:rPr>
            </w:pPr>
            <w:r>
              <w:rPr>
                <w:rFonts w:ascii="Times New Roman" w:eastAsia="Arial Unicode MS" w:hAnsi="Times New Roman"/>
                <w:sz w:val="24"/>
                <w:szCs w:val="24"/>
                <w:highlight w:val="red"/>
              </w:rPr>
              <w:t>0</w:t>
            </w:r>
          </w:p>
        </w:tc>
        <w:tc>
          <w:tcPr>
            <w:tcW w:w="845" w:type="dxa"/>
            <w:vAlign w:val="bottom"/>
          </w:tcPr>
          <w:p w14:paraId="49428B0E" w14:textId="0E7E6E35" w:rsidR="00DC06F8" w:rsidRPr="00DC06F8" w:rsidRDefault="00DC06F8" w:rsidP="00207BF5">
            <w:pPr>
              <w:spacing w:after="0" w:line="240" w:lineRule="auto"/>
              <w:jc w:val="right"/>
              <w:rPr>
                <w:rFonts w:ascii="Times New Roman" w:eastAsia="Arial Unicode MS" w:hAnsi="Times New Roman"/>
                <w:sz w:val="24"/>
                <w:szCs w:val="24"/>
              </w:rPr>
            </w:pPr>
            <w:r w:rsidRPr="00DC06F8">
              <w:rPr>
                <w:rFonts w:ascii="Times New Roman" w:eastAsia="Arial Unicode MS" w:hAnsi="Times New Roman"/>
                <w:sz w:val="24"/>
                <w:szCs w:val="24"/>
              </w:rPr>
              <w:t>5.4</w:t>
            </w:r>
          </w:p>
        </w:tc>
        <w:tc>
          <w:tcPr>
            <w:tcW w:w="846" w:type="dxa"/>
            <w:vAlign w:val="bottom"/>
          </w:tcPr>
          <w:p w14:paraId="28C1718B" w14:textId="216AF201" w:rsidR="00DC06F8" w:rsidRPr="008646F0" w:rsidRDefault="00D44DE8">
            <w:pPr>
              <w:spacing w:after="0" w:line="240" w:lineRule="auto"/>
              <w:jc w:val="right"/>
              <w:rPr>
                <w:rFonts w:ascii="Times New Roman" w:eastAsia="Times New Roman" w:hAnsi="Times New Roman"/>
                <w:b/>
                <w:sz w:val="24"/>
                <w:szCs w:val="24"/>
                <w:highlight w:val="red"/>
              </w:rPr>
            </w:pPr>
            <w:r>
              <w:rPr>
                <w:rFonts w:ascii="Times New Roman" w:eastAsia="Times New Roman" w:hAnsi="Times New Roman"/>
                <w:b/>
                <w:sz w:val="24"/>
                <w:szCs w:val="24"/>
                <w:highlight w:val="red"/>
              </w:rPr>
              <w:t>5.4</w:t>
            </w:r>
          </w:p>
        </w:tc>
      </w:tr>
      <w:tr w:rsidR="00DC06F8" w:rsidRPr="00207BF5" w14:paraId="5254CEC4" w14:textId="77777777" w:rsidTr="007F3490">
        <w:trPr>
          <w:trHeight w:val="255"/>
        </w:trPr>
        <w:tc>
          <w:tcPr>
            <w:tcW w:w="5380" w:type="dxa"/>
            <w:noWrap/>
            <w:tcMar>
              <w:top w:w="15" w:type="dxa"/>
              <w:left w:w="15" w:type="dxa"/>
              <w:bottom w:w="0" w:type="dxa"/>
              <w:right w:w="15" w:type="dxa"/>
            </w:tcMar>
            <w:vAlign w:val="bottom"/>
          </w:tcPr>
          <w:p w14:paraId="152DE748" w14:textId="77777777" w:rsidR="00DC06F8" w:rsidRPr="00BE6C3D" w:rsidRDefault="00DC06F8" w:rsidP="00207BF5">
            <w:pPr>
              <w:spacing w:after="0" w:line="240" w:lineRule="auto"/>
              <w:rPr>
                <w:rFonts w:ascii="Times New Roman" w:eastAsia="Arial Unicode MS" w:hAnsi="Times New Roman"/>
                <w:sz w:val="24"/>
                <w:szCs w:val="24"/>
              </w:rPr>
            </w:pPr>
            <w:r w:rsidRPr="00BE6C3D">
              <w:rPr>
                <w:rFonts w:ascii="Times New Roman" w:eastAsia="Times New Roman" w:hAnsi="Times New Roman"/>
                <w:sz w:val="24"/>
                <w:szCs w:val="24"/>
              </w:rPr>
              <w:t>National Estuarine Research Reserve Program</w:t>
            </w:r>
          </w:p>
        </w:tc>
        <w:tc>
          <w:tcPr>
            <w:tcW w:w="845" w:type="dxa"/>
            <w:vAlign w:val="bottom"/>
          </w:tcPr>
          <w:p w14:paraId="1D0E603E" w14:textId="31A8A9A0" w:rsidR="00DC06F8" w:rsidRPr="008646F0" w:rsidRDefault="00EC3CF9" w:rsidP="00207BF5">
            <w:pPr>
              <w:spacing w:after="0" w:line="240" w:lineRule="auto"/>
              <w:jc w:val="right"/>
              <w:rPr>
                <w:rFonts w:ascii="Times New Roman" w:eastAsia="Arial Unicode MS" w:hAnsi="Times New Roman"/>
                <w:sz w:val="24"/>
                <w:szCs w:val="24"/>
                <w:highlight w:val="red"/>
              </w:rPr>
            </w:pPr>
            <w:r>
              <w:rPr>
                <w:rFonts w:ascii="Times New Roman" w:eastAsia="Arial Unicode MS" w:hAnsi="Times New Roman"/>
                <w:sz w:val="24"/>
                <w:szCs w:val="24"/>
                <w:highlight w:val="red"/>
              </w:rPr>
              <w:t>1.7</w:t>
            </w:r>
          </w:p>
        </w:tc>
        <w:tc>
          <w:tcPr>
            <w:tcW w:w="845" w:type="dxa"/>
            <w:vAlign w:val="bottom"/>
          </w:tcPr>
          <w:p w14:paraId="4B8EEF02" w14:textId="10A6F5CE" w:rsidR="00DC06F8" w:rsidRPr="00DC06F8" w:rsidRDefault="00DC06F8" w:rsidP="00207BF5">
            <w:pPr>
              <w:spacing w:after="0" w:line="240" w:lineRule="auto"/>
              <w:jc w:val="right"/>
              <w:rPr>
                <w:rFonts w:ascii="Times New Roman" w:eastAsia="Arial Unicode MS" w:hAnsi="Times New Roman"/>
                <w:sz w:val="24"/>
                <w:szCs w:val="24"/>
              </w:rPr>
            </w:pPr>
            <w:r w:rsidRPr="00DC06F8">
              <w:rPr>
                <w:rFonts w:ascii="Times New Roman" w:eastAsia="Arial Unicode MS" w:hAnsi="Times New Roman"/>
                <w:sz w:val="24"/>
                <w:szCs w:val="24"/>
              </w:rPr>
              <w:t>1.8</w:t>
            </w:r>
          </w:p>
        </w:tc>
        <w:tc>
          <w:tcPr>
            <w:tcW w:w="846" w:type="dxa"/>
            <w:vAlign w:val="bottom"/>
          </w:tcPr>
          <w:p w14:paraId="6BE88575" w14:textId="3CA1A03B" w:rsidR="00DC06F8" w:rsidRPr="008646F0" w:rsidRDefault="00EC3CF9">
            <w:pPr>
              <w:spacing w:after="0" w:line="240" w:lineRule="auto"/>
              <w:jc w:val="right"/>
              <w:rPr>
                <w:rFonts w:ascii="Times New Roman" w:eastAsia="Times New Roman" w:hAnsi="Times New Roman"/>
                <w:b/>
                <w:sz w:val="24"/>
                <w:szCs w:val="24"/>
                <w:highlight w:val="red"/>
              </w:rPr>
            </w:pPr>
            <w:r>
              <w:rPr>
                <w:rFonts w:ascii="Times New Roman" w:eastAsia="Times New Roman" w:hAnsi="Times New Roman"/>
                <w:b/>
                <w:sz w:val="24"/>
                <w:szCs w:val="24"/>
                <w:highlight w:val="red"/>
              </w:rPr>
              <w:t>3.5</w:t>
            </w:r>
          </w:p>
        </w:tc>
      </w:tr>
      <w:tr w:rsidR="00DC06F8" w:rsidRPr="00207BF5" w14:paraId="4E1A05B2" w14:textId="77777777" w:rsidTr="007F3490">
        <w:trPr>
          <w:trHeight w:val="255"/>
        </w:trPr>
        <w:tc>
          <w:tcPr>
            <w:tcW w:w="5380" w:type="dxa"/>
            <w:noWrap/>
            <w:tcMar>
              <w:top w:w="15" w:type="dxa"/>
              <w:left w:w="15" w:type="dxa"/>
              <w:bottom w:w="0" w:type="dxa"/>
              <w:right w:w="15" w:type="dxa"/>
            </w:tcMar>
            <w:vAlign w:val="bottom"/>
          </w:tcPr>
          <w:p w14:paraId="1A8D1963" w14:textId="77777777" w:rsidR="00DC06F8" w:rsidRPr="00BE6C3D" w:rsidRDefault="00DC06F8" w:rsidP="00207BF5">
            <w:pPr>
              <w:spacing w:after="0" w:line="240" w:lineRule="auto"/>
              <w:rPr>
                <w:rFonts w:ascii="Times New Roman" w:eastAsia="Arial Unicode MS" w:hAnsi="Times New Roman"/>
                <w:sz w:val="24"/>
                <w:szCs w:val="24"/>
              </w:rPr>
            </w:pPr>
            <w:r w:rsidRPr="00BE6C3D">
              <w:rPr>
                <w:rFonts w:ascii="Times New Roman" w:eastAsia="Times New Roman" w:hAnsi="Times New Roman"/>
                <w:sz w:val="24"/>
                <w:szCs w:val="24"/>
              </w:rPr>
              <w:t>National Sea Grant College Program</w:t>
            </w:r>
          </w:p>
        </w:tc>
        <w:tc>
          <w:tcPr>
            <w:tcW w:w="845" w:type="dxa"/>
          </w:tcPr>
          <w:p w14:paraId="321398D2" w14:textId="3B7107B4" w:rsidR="00DC06F8" w:rsidRPr="008646F0" w:rsidRDefault="00D44DE8" w:rsidP="00207BF5">
            <w:pPr>
              <w:spacing w:after="0" w:line="240" w:lineRule="auto"/>
              <w:jc w:val="right"/>
              <w:rPr>
                <w:rFonts w:ascii="Times New Roman" w:eastAsia="Arial Unicode MS" w:hAnsi="Times New Roman"/>
                <w:sz w:val="24"/>
                <w:szCs w:val="24"/>
                <w:highlight w:val="red"/>
              </w:rPr>
            </w:pPr>
            <w:r>
              <w:rPr>
                <w:rFonts w:ascii="Times New Roman" w:eastAsia="Arial Unicode MS" w:hAnsi="Times New Roman"/>
                <w:sz w:val="24"/>
                <w:szCs w:val="24"/>
                <w:highlight w:val="red"/>
              </w:rPr>
              <w:t>0</w:t>
            </w:r>
          </w:p>
        </w:tc>
        <w:tc>
          <w:tcPr>
            <w:tcW w:w="845" w:type="dxa"/>
          </w:tcPr>
          <w:p w14:paraId="34DA906C" w14:textId="4C04AF09" w:rsidR="00DC06F8" w:rsidRPr="00DC06F8" w:rsidRDefault="004044C3" w:rsidP="00207BF5">
            <w:pPr>
              <w:spacing w:after="0" w:line="240" w:lineRule="auto"/>
              <w:jc w:val="right"/>
              <w:rPr>
                <w:rFonts w:ascii="Times New Roman" w:eastAsia="Arial Unicode MS" w:hAnsi="Times New Roman"/>
                <w:sz w:val="24"/>
                <w:szCs w:val="24"/>
              </w:rPr>
            </w:pPr>
            <w:r>
              <w:rPr>
                <w:rFonts w:ascii="Times New Roman" w:eastAsia="Arial Unicode MS" w:hAnsi="Times New Roman"/>
                <w:sz w:val="24"/>
                <w:szCs w:val="24"/>
              </w:rPr>
              <w:t>1.2</w:t>
            </w:r>
          </w:p>
        </w:tc>
        <w:tc>
          <w:tcPr>
            <w:tcW w:w="846" w:type="dxa"/>
          </w:tcPr>
          <w:p w14:paraId="4DB905A2" w14:textId="1699B90E" w:rsidR="00DC06F8" w:rsidRPr="008646F0" w:rsidRDefault="004044C3" w:rsidP="004044C3">
            <w:pPr>
              <w:spacing w:after="0" w:line="240" w:lineRule="auto"/>
              <w:jc w:val="right"/>
              <w:rPr>
                <w:rFonts w:ascii="Times New Roman" w:eastAsia="Times New Roman" w:hAnsi="Times New Roman"/>
                <w:b/>
                <w:sz w:val="24"/>
                <w:szCs w:val="24"/>
                <w:highlight w:val="red"/>
              </w:rPr>
            </w:pPr>
            <w:r>
              <w:rPr>
                <w:rFonts w:ascii="Times New Roman" w:eastAsia="Times New Roman" w:hAnsi="Times New Roman"/>
                <w:b/>
                <w:sz w:val="24"/>
                <w:szCs w:val="24"/>
                <w:highlight w:val="red"/>
              </w:rPr>
              <w:t>1.2</w:t>
            </w:r>
          </w:p>
        </w:tc>
      </w:tr>
      <w:tr w:rsidR="00DC06F8" w:rsidRPr="00207BF5" w14:paraId="4EB5C8C3" w14:textId="77777777" w:rsidTr="007F3490">
        <w:trPr>
          <w:trHeight w:val="255"/>
        </w:trPr>
        <w:tc>
          <w:tcPr>
            <w:tcW w:w="5380" w:type="dxa"/>
            <w:noWrap/>
            <w:tcMar>
              <w:top w:w="15" w:type="dxa"/>
              <w:left w:w="15" w:type="dxa"/>
              <w:bottom w:w="0" w:type="dxa"/>
              <w:right w:w="15" w:type="dxa"/>
            </w:tcMar>
            <w:vAlign w:val="bottom"/>
          </w:tcPr>
          <w:p w14:paraId="57596271" w14:textId="77777777" w:rsidR="00DC06F8" w:rsidRPr="00BE6C3D" w:rsidRDefault="00DC06F8" w:rsidP="00207BF5">
            <w:pPr>
              <w:spacing w:after="0" w:line="240" w:lineRule="auto"/>
              <w:rPr>
                <w:rFonts w:ascii="Times New Roman" w:eastAsia="Times New Roman" w:hAnsi="Times New Roman"/>
                <w:bCs/>
                <w:sz w:val="24"/>
                <w:szCs w:val="24"/>
              </w:rPr>
            </w:pPr>
            <w:r w:rsidRPr="00BE6C3D">
              <w:rPr>
                <w:rFonts w:ascii="Times New Roman" w:eastAsia="Times New Roman" w:hAnsi="Times New Roman"/>
                <w:sz w:val="24"/>
                <w:szCs w:val="24"/>
              </w:rPr>
              <w:t>Other Programs</w:t>
            </w:r>
          </w:p>
        </w:tc>
        <w:tc>
          <w:tcPr>
            <w:tcW w:w="845" w:type="dxa"/>
          </w:tcPr>
          <w:p w14:paraId="1B226EA8" w14:textId="77777777" w:rsidR="00DC06F8" w:rsidRPr="008646F0" w:rsidRDefault="00DC06F8" w:rsidP="00207BF5">
            <w:pPr>
              <w:spacing w:after="0" w:line="240" w:lineRule="auto"/>
              <w:jc w:val="right"/>
              <w:rPr>
                <w:rFonts w:ascii="Times New Roman" w:eastAsia="Times New Roman" w:hAnsi="Times New Roman"/>
                <w:bCs/>
                <w:sz w:val="24"/>
                <w:szCs w:val="24"/>
                <w:highlight w:val="red"/>
              </w:rPr>
            </w:pPr>
            <w:r w:rsidRPr="008646F0">
              <w:rPr>
                <w:rFonts w:ascii="Times New Roman" w:eastAsia="Times New Roman" w:hAnsi="Times New Roman"/>
                <w:bCs/>
                <w:sz w:val="24"/>
                <w:szCs w:val="24"/>
                <w:highlight w:val="red"/>
              </w:rPr>
              <w:t>0</w:t>
            </w:r>
          </w:p>
        </w:tc>
        <w:tc>
          <w:tcPr>
            <w:tcW w:w="845" w:type="dxa"/>
          </w:tcPr>
          <w:p w14:paraId="12FBE233" w14:textId="19528338" w:rsidR="00DC06F8" w:rsidRPr="00DC06F8" w:rsidRDefault="00DC06F8" w:rsidP="00207BF5">
            <w:pPr>
              <w:spacing w:after="0" w:line="240" w:lineRule="auto"/>
              <w:jc w:val="right"/>
              <w:rPr>
                <w:rFonts w:ascii="Times New Roman" w:eastAsia="Times New Roman" w:hAnsi="Times New Roman"/>
                <w:bCs/>
                <w:sz w:val="24"/>
                <w:szCs w:val="24"/>
              </w:rPr>
            </w:pPr>
            <w:r w:rsidRPr="00DC06F8">
              <w:rPr>
                <w:rFonts w:ascii="Times New Roman" w:eastAsia="Times New Roman" w:hAnsi="Times New Roman"/>
                <w:bCs/>
                <w:sz w:val="24"/>
                <w:szCs w:val="24"/>
              </w:rPr>
              <w:t>0</w:t>
            </w:r>
          </w:p>
        </w:tc>
        <w:tc>
          <w:tcPr>
            <w:tcW w:w="846" w:type="dxa"/>
            <w:shd w:val="clear" w:color="auto" w:fill="FFFFFF"/>
            <w:vAlign w:val="bottom"/>
          </w:tcPr>
          <w:p w14:paraId="3E7FFA65" w14:textId="30D23E0E" w:rsidR="00DC06F8" w:rsidRPr="008646F0" w:rsidRDefault="00DC06F8" w:rsidP="00207BF5">
            <w:pPr>
              <w:spacing w:after="0" w:line="240" w:lineRule="auto"/>
              <w:jc w:val="right"/>
              <w:rPr>
                <w:rFonts w:ascii="Times New Roman" w:eastAsia="Times New Roman" w:hAnsi="Times New Roman"/>
                <w:b/>
                <w:sz w:val="24"/>
                <w:szCs w:val="24"/>
                <w:highlight w:val="red"/>
              </w:rPr>
            </w:pPr>
            <w:r w:rsidRPr="008646F0">
              <w:rPr>
                <w:rFonts w:ascii="Times New Roman" w:eastAsia="Times New Roman" w:hAnsi="Times New Roman"/>
                <w:b/>
                <w:sz w:val="24"/>
                <w:szCs w:val="24"/>
                <w:highlight w:val="red"/>
              </w:rPr>
              <w:t>0</w:t>
            </w:r>
          </w:p>
        </w:tc>
      </w:tr>
      <w:tr w:rsidR="00DC06F8" w:rsidRPr="00207BF5" w14:paraId="4C9C20E4" w14:textId="77777777" w:rsidTr="007F3490">
        <w:trPr>
          <w:trHeight w:val="255"/>
        </w:trPr>
        <w:tc>
          <w:tcPr>
            <w:tcW w:w="5380" w:type="dxa"/>
            <w:noWrap/>
            <w:tcMar>
              <w:top w:w="15" w:type="dxa"/>
              <w:left w:w="15" w:type="dxa"/>
              <w:bottom w:w="0" w:type="dxa"/>
              <w:right w:w="15" w:type="dxa"/>
            </w:tcMar>
            <w:vAlign w:val="bottom"/>
          </w:tcPr>
          <w:p w14:paraId="2EE3B30A" w14:textId="77777777" w:rsidR="00DC06F8" w:rsidRPr="00BE6C3D" w:rsidRDefault="00DC06F8" w:rsidP="00207BF5">
            <w:pPr>
              <w:spacing w:after="0" w:line="240" w:lineRule="auto"/>
              <w:rPr>
                <w:rFonts w:ascii="Times New Roman" w:eastAsia="Arial Unicode MS" w:hAnsi="Times New Roman"/>
                <w:b/>
                <w:bCs/>
                <w:sz w:val="24"/>
                <w:szCs w:val="24"/>
              </w:rPr>
            </w:pPr>
            <w:r w:rsidRPr="00BE6C3D">
              <w:rPr>
                <w:rFonts w:ascii="Times New Roman" w:eastAsia="Times New Roman" w:hAnsi="Times New Roman"/>
                <w:b/>
                <w:bCs/>
                <w:sz w:val="24"/>
                <w:szCs w:val="24"/>
              </w:rPr>
              <w:t>Total</w:t>
            </w:r>
          </w:p>
        </w:tc>
        <w:tc>
          <w:tcPr>
            <w:tcW w:w="845" w:type="dxa"/>
            <w:vAlign w:val="bottom"/>
          </w:tcPr>
          <w:p w14:paraId="70584412" w14:textId="38AC1909" w:rsidR="00DC06F8" w:rsidRPr="008646F0" w:rsidRDefault="00DC06F8" w:rsidP="007F3490">
            <w:pPr>
              <w:spacing w:after="0" w:line="240" w:lineRule="auto"/>
              <w:jc w:val="right"/>
              <w:rPr>
                <w:rFonts w:ascii="Times New Roman" w:eastAsia="Arial Unicode MS" w:hAnsi="Times New Roman"/>
                <w:b/>
                <w:bCs/>
                <w:sz w:val="24"/>
                <w:szCs w:val="24"/>
                <w:highlight w:val="red"/>
              </w:rPr>
            </w:pPr>
            <w:r w:rsidRPr="008646F0">
              <w:rPr>
                <w:rFonts w:ascii="Times New Roman" w:eastAsia="Arial Unicode MS" w:hAnsi="Times New Roman"/>
                <w:b/>
                <w:bCs/>
                <w:sz w:val="24"/>
                <w:szCs w:val="24"/>
                <w:highlight w:val="red"/>
              </w:rPr>
              <w:t>$</w:t>
            </w:r>
            <w:r w:rsidR="00EC3CF9">
              <w:rPr>
                <w:rFonts w:ascii="Times New Roman" w:eastAsia="Arial Unicode MS" w:hAnsi="Times New Roman"/>
                <w:b/>
                <w:bCs/>
                <w:sz w:val="24"/>
                <w:szCs w:val="24"/>
                <w:highlight w:val="red"/>
              </w:rPr>
              <w:t>1.7</w:t>
            </w:r>
          </w:p>
        </w:tc>
        <w:tc>
          <w:tcPr>
            <w:tcW w:w="845" w:type="dxa"/>
            <w:vAlign w:val="bottom"/>
          </w:tcPr>
          <w:p w14:paraId="053864A6" w14:textId="153802A3" w:rsidR="00DC06F8" w:rsidRPr="00DC06F8" w:rsidRDefault="00DC06F8" w:rsidP="00207BF5">
            <w:pPr>
              <w:spacing w:after="0" w:line="240" w:lineRule="auto"/>
              <w:jc w:val="right"/>
              <w:rPr>
                <w:rFonts w:ascii="Times New Roman" w:eastAsia="Arial Unicode MS" w:hAnsi="Times New Roman"/>
                <w:b/>
                <w:bCs/>
                <w:sz w:val="24"/>
                <w:szCs w:val="24"/>
              </w:rPr>
            </w:pPr>
            <w:r w:rsidRPr="00DC06F8">
              <w:rPr>
                <w:rFonts w:ascii="Times New Roman" w:eastAsia="Arial Unicode MS" w:hAnsi="Times New Roman"/>
                <w:b/>
                <w:bCs/>
                <w:sz w:val="24"/>
                <w:szCs w:val="24"/>
              </w:rPr>
              <w:t>$24.4</w:t>
            </w:r>
          </w:p>
        </w:tc>
        <w:tc>
          <w:tcPr>
            <w:tcW w:w="846" w:type="dxa"/>
            <w:vAlign w:val="bottom"/>
          </w:tcPr>
          <w:p w14:paraId="652B63AF" w14:textId="7569F767" w:rsidR="00DC06F8" w:rsidRPr="008646F0" w:rsidRDefault="00DC06F8" w:rsidP="007F3490">
            <w:pPr>
              <w:spacing w:after="0" w:line="240" w:lineRule="auto"/>
              <w:jc w:val="right"/>
              <w:rPr>
                <w:rFonts w:ascii="Times New Roman" w:eastAsia="Times New Roman" w:hAnsi="Times New Roman"/>
                <w:b/>
                <w:sz w:val="24"/>
                <w:szCs w:val="24"/>
                <w:highlight w:val="red"/>
              </w:rPr>
            </w:pPr>
            <w:r w:rsidRPr="008646F0">
              <w:rPr>
                <w:rFonts w:ascii="Times New Roman" w:eastAsia="Times New Roman" w:hAnsi="Times New Roman"/>
                <w:b/>
                <w:sz w:val="24"/>
                <w:szCs w:val="24"/>
                <w:highlight w:val="red"/>
              </w:rPr>
              <w:t>$</w:t>
            </w:r>
            <w:r w:rsidR="00EC3CF9">
              <w:rPr>
                <w:rFonts w:ascii="Times New Roman" w:eastAsia="Times New Roman" w:hAnsi="Times New Roman"/>
                <w:b/>
                <w:sz w:val="24"/>
                <w:szCs w:val="24"/>
                <w:highlight w:val="red"/>
              </w:rPr>
              <w:t>26.1</w:t>
            </w:r>
          </w:p>
        </w:tc>
      </w:tr>
    </w:tbl>
    <w:p w14:paraId="5C6D2DBC" w14:textId="48620E72" w:rsidR="007F3490" w:rsidRDefault="007F3490" w:rsidP="003724B6">
      <w:pPr>
        <w:spacing w:line="240" w:lineRule="auto"/>
        <w:contextualSpacing/>
        <w:rPr>
          <w:rFonts w:ascii="Times New Roman" w:hAnsi="Times New Roman"/>
          <w:bCs/>
          <w:color w:val="000000"/>
          <w:sz w:val="24"/>
          <w:szCs w:val="24"/>
          <w:highlight w:val="green"/>
        </w:rPr>
      </w:pPr>
    </w:p>
    <w:p w14:paraId="11A17CB0" w14:textId="5327D4ED" w:rsidR="00A60351" w:rsidRPr="00494932" w:rsidRDefault="00BC18AA" w:rsidP="00A60351">
      <w:pPr>
        <w:autoSpaceDE w:val="0"/>
        <w:autoSpaceDN w:val="0"/>
        <w:adjustRightInd w:val="0"/>
        <w:spacing w:after="0" w:line="240" w:lineRule="auto"/>
        <w:contextualSpacing/>
        <w:rPr>
          <w:rFonts w:ascii="Times New Roman" w:hAnsi="Times New Roman"/>
          <w:bCs/>
          <w:i/>
          <w:sz w:val="24"/>
          <w:szCs w:val="24"/>
        </w:rPr>
      </w:pPr>
      <w:r>
        <w:rPr>
          <w:rFonts w:ascii="Times New Roman" w:hAnsi="Times New Roman"/>
          <w:bCs/>
          <w:i/>
          <w:sz w:val="24"/>
          <w:szCs w:val="24"/>
          <w:highlight w:val="yellow"/>
        </w:rPr>
        <w:t>Please explain any significant increase or decrease in investments in human cap</w:t>
      </w:r>
      <w:r w:rsidR="008E0319">
        <w:rPr>
          <w:rFonts w:ascii="Times New Roman" w:hAnsi="Times New Roman"/>
          <w:bCs/>
          <w:i/>
          <w:sz w:val="24"/>
          <w:szCs w:val="24"/>
          <w:highlight w:val="yellow"/>
        </w:rPr>
        <w:t>ital between FY 2020 and FY 2021</w:t>
      </w:r>
      <w:r>
        <w:rPr>
          <w:rFonts w:ascii="Times New Roman" w:hAnsi="Times New Roman"/>
          <w:bCs/>
          <w:i/>
          <w:sz w:val="24"/>
          <w:szCs w:val="24"/>
          <w:highlight w:val="yellow"/>
        </w:rPr>
        <w:t xml:space="preserve">. </w:t>
      </w:r>
    </w:p>
    <w:p w14:paraId="71F5243C" w14:textId="77777777" w:rsidR="0018505F" w:rsidRDefault="0018505F" w:rsidP="0018505F">
      <w:pPr>
        <w:spacing w:after="0" w:line="240" w:lineRule="auto"/>
        <w:rPr>
          <w:rFonts w:ascii="Times New Roman" w:hAnsi="Times New Roman"/>
          <w:bCs/>
          <w:color w:val="000000"/>
          <w:sz w:val="24"/>
          <w:szCs w:val="24"/>
        </w:rPr>
      </w:pPr>
    </w:p>
    <w:p w14:paraId="06812A31" w14:textId="77777777" w:rsidR="003830EC" w:rsidRDefault="0018505F" w:rsidP="0018505F">
      <w:pPr>
        <w:spacing w:after="0" w:line="240" w:lineRule="auto"/>
        <w:rPr>
          <w:rFonts w:ascii="Times New Roman" w:hAnsi="Times New Roman"/>
          <w:bCs/>
          <w:color w:val="000000"/>
          <w:sz w:val="24"/>
          <w:szCs w:val="24"/>
        </w:rPr>
      </w:pPr>
      <w:r>
        <w:rPr>
          <w:rFonts w:ascii="Times New Roman" w:hAnsi="Times New Roman"/>
          <w:b/>
          <w:bCs/>
          <w:color w:val="000000"/>
          <w:sz w:val="24"/>
          <w:szCs w:val="24"/>
        </w:rPr>
        <w:t xml:space="preserve">Educational Partnership Program: </w:t>
      </w:r>
      <w:r>
        <w:rPr>
          <w:rFonts w:ascii="Times New Roman" w:hAnsi="Times New Roman"/>
          <w:bCs/>
          <w:color w:val="000000"/>
          <w:sz w:val="24"/>
          <w:szCs w:val="24"/>
        </w:rPr>
        <w:t xml:space="preserve"> The NOAA Educational Partnership Program with Minority Serving Institutions provides financial assistance through competitive processes to minority serving institutions that support research and training of students in NOAA-related sciences, through Cooperative Science Centers.  The program’s goals include </w:t>
      </w:r>
      <w:r w:rsidR="003830EC">
        <w:rPr>
          <w:rFonts w:ascii="Times New Roman" w:hAnsi="Times New Roman"/>
          <w:bCs/>
          <w:color w:val="000000"/>
          <w:sz w:val="24"/>
          <w:szCs w:val="24"/>
        </w:rPr>
        <w:t>(1) increase the number of trained and graduated students, from underrepresented communities in science and technology, directly related to NOAA’s mission; and (2) increase collaborative research efforts between NOAA scientists and researchers at minority servicing academic institutions.</w:t>
      </w:r>
    </w:p>
    <w:p w14:paraId="79304D7F" w14:textId="77777777" w:rsidR="003830EC" w:rsidRDefault="003830EC" w:rsidP="0018505F">
      <w:pPr>
        <w:spacing w:after="0" w:line="240" w:lineRule="auto"/>
        <w:rPr>
          <w:rFonts w:ascii="Times New Roman" w:hAnsi="Times New Roman"/>
          <w:bCs/>
          <w:color w:val="000000"/>
          <w:sz w:val="24"/>
          <w:szCs w:val="24"/>
        </w:rPr>
      </w:pPr>
    </w:p>
    <w:p w14:paraId="22266552" w14:textId="77777777" w:rsidR="003830EC" w:rsidRDefault="003830EC" w:rsidP="0018505F">
      <w:pPr>
        <w:spacing w:after="0" w:line="240" w:lineRule="auto"/>
        <w:rPr>
          <w:rFonts w:ascii="Times New Roman" w:hAnsi="Times New Roman"/>
          <w:bCs/>
          <w:color w:val="000000"/>
          <w:sz w:val="24"/>
          <w:szCs w:val="24"/>
        </w:rPr>
      </w:pPr>
      <w:r>
        <w:rPr>
          <w:rFonts w:ascii="Times New Roman" w:hAnsi="Times New Roman"/>
          <w:b/>
          <w:bCs/>
          <w:color w:val="000000"/>
          <w:sz w:val="24"/>
          <w:szCs w:val="24"/>
        </w:rPr>
        <w:t>Ernest F. Hollings Undergraduate Scholarship Program:</w:t>
      </w:r>
      <w:r>
        <w:rPr>
          <w:rFonts w:ascii="Times New Roman" w:hAnsi="Times New Roman"/>
          <w:bCs/>
          <w:color w:val="000000"/>
          <w:sz w:val="24"/>
          <w:szCs w:val="24"/>
        </w:rPr>
        <w:t xml:space="preserve"> This program was established in 2005 to (1) increase undergraduate training in oceanic and atmospheric science, research, technology, and education, and foster multidisciplinary training opportunities; (2) increase public understanding and support for stewardship of the ocean and atmosphere and improve environmental literacy; (3) recruit and prepare students for public service careers with NOAA </w:t>
      </w:r>
      <w:r>
        <w:rPr>
          <w:rFonts w:ascii="Times New Roman" w:hAnsi="Times New Roman"/>
          <w:bCs/>
          <w:color w:val="000000"/>
          <w:sz w:val="24"/>
          <w:szCs w:val="24"/>
        </w:rPr>
        <w:lastRenderedPageBreak/>
        <w:t>and other agencies at the federal, state, and local levels of government; and (4) recruit and prepare students for careers as teachers and educators in oceanic and atmospheric science and to improve scientific and environmental education in the United States.</w:t>
      </w:r>
    </w:p>
    <w:p w14:paraId="24A86E77" w14:textId="77777777" w:rsidR="003830EC" w:rsidRDefault="003830EC" w:rsidP="0018505F">
      <w:pPr>
        <w:spacing w:after="0" w:line="240" w:lineRule="auto"/>
        <w:rPr>
          <w:rFonts w:ascii="Times New Roman" w:hAnsi="Times New Roman"/>
          <w:bCs/>
          <w:color w:val="000000"/>
          <w:sz w:val="24"/>
          <w:szCs w:val="24"/>
        </w:rPr>
      </w:pPr>
    </w:p>
    <w:p w14:paraId="3EC8DC7A" w14:textId="2BACF65C" w:rsidR="00EC3CF9" w:rsidRDefault="003830EC" w:rsidP="00EC3CF9">
      <w:pPr>
        <w:spacing w:after="0" w:line="240" w:lineRule="auto"/>
        <w:rPr>
          <w:rFonts w:ascii="Times New Roman" w:hAnsi="Times New Roman"/>
          <w:bCs/>
          <w:color w:val="000000"/>
          <w:sz w:val="24"/>
          <w:szCs w:val="24"/>
        </w:rPr>
      </w:pPr>
      <w:r>
        <w:rPr>
          <w:rFonts w:ascii="Times New Roman" w:hAnsi="Times New Roman"/>
          <w:b/>
          <w:bCs/>
          <w:color w:val="000000"/>
          <w:sz w:val="24"/>
          <w:szCs w:val="24"/>
        </w:rPr>
        <w:t>National Estuarine Research Reserve Program:</w:t>
      </w:r>
      <w:r>
        <w:rPr>
          <w:rFonts w:ascii="Times New Roman" w:hAnsi="Times New Roman"/>
          <w:bCs/>
          <w:color w:val="000000"/>
          <w:sz w:val="24"/>
          <w:szCs w:val="24"/>
        </w:rPr>
        <w:t xml:space="preserve"> This program supports activities designed to increase public awareness of estuary issues, provide information to improve management decisions in estuarine areas, and train graduate students in estuarine science.</w:t>
      </w:r>
      <w:r w:rsidR="00EC3CF9">
        <w:rPr>
          <w:rFonts w:ascii="Times New Roman" w:hAnsi="Times New Roman"/>
          <w:bCs/>
          <w:color w:val="000000"/>
          <w:sz w:val="24"/>
          <w:szCs w:val="24"/>
        </w:rPr>
        <w:t xml:space="preserve">  </w:t>
      </w:r>
      <w:r w:rsidR="00EC3CF9" w:rsidRPr="00974A2E">
        <w:rPr>
          <w:rFonts w:ascii="Times New Roman" w:hAnsi="Times New Roman"/>
          <w:bCs/>
          <w:color w:val="000000"/>
          <w:sz w:val="24"/>
          <w:szCs w:val="24"/>
        </w:rPr>
        <w:t>The Margaret Davidson Fellowship Program places one graduate student at each of the nation’s 29 national estuarine research reserves.  Through a research project, fellows will address a key coastal management question to help scientists and communities understand coastal challenges that may influence future policy and management strategies</w:t>
      </w:r>
      <w:r w:rsidR="00EC3CF9">
        <w:rPr>
          <w:rFonts w:ascii="Times New Roman" w:hAnsi="Times New Roman"/>
          <w:bCs/>
          <w:color w:val="000000"/>
          <w:sz w:val="24"/>
          <w:szCs w:val="24"/>
        </w:rPr>
        <w:t>.</w:t>
      </w:r>
    </w:p>
    <w:p w14:paraId="1958B090" w14:textId="20A780F3" w:rsidR="003830EC" w:rsidRDefault="003830EC" w:rsidP="0018505F">
      <w:pPr>
        <w:spacing w:after="0" w:line="240" w:lineRule="auto"/>
        <w:rPr>
          <w:rFonts w:ascii="Times New Roman" w:hAnsi="Times New Roman"/>
          <w:bCs/>
          <w:color w:val="000000"/>
          <w:sz w:val="24"/>
          <w:szCs w:val="24"/>
        </w:rPr>
      </w:pPr>
    </w:p>
    <w:p w14:paraId="4CDFCE6E" w14:textId="4DD50E3C" w:rsidR="003B56E8" w:rsidRDefault="003830EC" w:rsidP="0018505F">
      <w:pPr>
        <w:spacing w:after="0" w:line="240" w:lineRule="auto"/>
        <w:rPr>
          <w:rFonts w:ascii="Times New Roman" w:hAnsi="Times New Roman"/>
          <w:bCs/>
          <w:color w:val="000000"/>
          <w:sz w:val="24"/>
          <w:szCs w:val="24"/>
        </w:rPr>
      </w:pPr>
      <w:r>
        <w:rPr>
          <w:rFonts w:ascii="Times New Roman" w:hAnsi="Times New Roman"/>
          <w:b/>
          <w:bCs/>
          <w:color w:val="000000"/>
          <w:sz w:val="24"/>
          <w:szCs w:val="24"/>
        </w:rPr>
        <w:t>National Sea Grant College Program:</w:t>
      </w:r>
      <w:r>
        <w:rPr>
          <w:rFonts w:ascii="Times New Roman" w:hAnsi="Times New Roman"/>
          <w:bCs/>
          <w:color w:val="000000"/>
          <w:sz w:val="24"/>
          <w:szCs w:val="24"/>
        </w:rPr>
        <w:t xml:space="preserve"> This program works to create and maintain a healthy coastal environment and economy.  The Sea Grant network consists of a federal/university partnership between NOAA and 34 university-based programs in every coastal and Great Lakes state, Puerto Rico, and Guam.  The </w:t>
      </w:r>
      <w:proofErr w:type="spellStart"/>
      <w:r>
        <w:rPr>
          <w:rFonts w:ascii="Times New Roman" w:hAnsi="Times New Roman"/>
          <w:bCs/>
          <w:color w:val="000000"/>
          <w:sz w:val="24"/>
          <w:szCs w:val="24"/>
        </w:rPr>
        <w:t>Knauss</w:t>
      </w:r>
      <w:proofErr w:type="spellEnd"/>
      <w:r>
        <w:rPr>
          <w:rFonts w:ascii="Times New Roman" w:hAnsi="Times New Roman"/>
          <w:bCs/>
          <w:color w:val="000000"/>
          <w:sz w:val="24"/>
          <w:szCs w:val="24"/>
        </w:rPr>
        <w:t xml:space="preserve"> Fellowship Program offers qualified masters and doctoral students the opportunity to spend a year working on marine and Great Lakes policy issues with the Executive and Legislative branches of the federal government.  There is also a Graduate Fellowship Program for Ph.D. candidates in the specialized areas of population dynamics and marine resource economics.</w:t>
      </w:r>
    </w:p>
    <w:p w14:paraId="49812656" w14:textId="77777777" w:rsidR="003830EC" w:rsidRPr="0018505F" w:rsidRDefault="003830EC" w:rsidP="0018505F">
      <w:pPr>
        <w:spacing w:after="0" w:line="240" w:lineRule="auto"/>
        <w:rPr>
          <w:rFonts w:ascii="Times New Roman" w:hAnsi="Times New Roman"/>
          <w:b/>
          <w:bCs/>
          <w:i/>
          <w:iCs/>
          <w:color w:val="000000"/>
          <w:sz w:val="24"/>
          <w:szCs w:val="24"/>
          <w:u w:val="single"/>
        </w:rPr>
      </w:pPr>
    </w:p>
    <w:p w14:paraId="26952160" w14:textId="1A79C74E" w:rsidR="003724B6" w:rsidRPr="00BE6C3D" w:rsidRDefault="003724B6" w:rsidP="00320256">
      <w:pPr>
        <w:spacing w:after="0" w:line="240" w:lineRule="auto"/>
        <w:rPr>
          <w:rFonts w:ascii="Times New Roman" w:hAnsi="Times New Roman"/>
          <w:b/>
          <w:bCs/>
          <w:i/>
          <w:iCs/>
          <w:color w:val="000000"/>
          <w:sz w:val="24"/>
          <w:szCs w:val="24"/>
          <w:u w:val="single"/>
        </w:rPr>
      </w:pPr>
      <w:r w:rsidRPr="00BE6C3D">
        <w:rPr>
          <w:rFonts w:ascii="Times New Roman" w:hAnsi="Times New Roman"/>
          <w:b/>
          <w:bCs/>
          <w:i/>
          <w:iCs/>
          <w:color w:val="000000"/>
          <w:sz w:val="24"/>
          <w:szCs w:val="24"/>
          <w:u w:val="single"/>
        </w:rPr>
        <w:t>Investments in Research and Development (R&amp;D):</w:t>
      </w:r>
    </w:p>
    <w:p w14:paraId="422E1500" w14:textId="77777777" w:rsidR="003724B6" w:rsidRPr="00BE6C3D" w:rsidRDefault="003724B6" w:rsidP="003724B6">
      <w:pPr>
        <w:autoSpaceDE w:val="0"/>
        <w:autoSpaceDN w:val="0"/>
        <w:adjustRightInd w:val="0"/>
        <w:spacing w:after="0" w:line="240" w:lineRule="auto"/>
        <w:rPr>
          <w:rFonts w:ascii="Times New Roman" w:hAnsi="Times New Roman"/>
          <w:color w:val="000000"/>
          <w:sz w:val="24"/>
          <w:szCs w:val="24"/>
        </w:rPr>
      </w:pPr>
    </w:p>
    <w:p w14:paraId="7CE87285" w14:textId="77777777" w:rsidR="003724B6" w:rsidRPr="00BE6C3D" w:rsidRDefault="003724B6" w:rsidP="003724B6">
      <w:pPr>
        <w:autoSpaceDE w:val="0"/>
        <w:autoSpaceDN w:val="0"/>
        <w:adjustRightInd w:val="0"/>
        <w:spacing w:after="0" w:line="240" w:lineRule="auto"/>
        <w:rPr>
          <w:rFonts w:ascii="Times New Roman" w:hAnsi="Times New Roman"/>
          <w:color w:val="221E1F"/>
          <w:sz w:val="24"/>
          <w:szCs w:val="24"/>
        </w:rPr>
      </w:pPr>
      <w:r w:rsidRPr="00BE6C3D">
        <w:rPr>
          <w:rFonts w:ascii="Times New Roman" w:hAnsi="Times New Roman"/>
          <w:color w:val="221E1F"/>
          <w:sz w:val="24"/>
          <w:szCs w:val="24"/>
        </w:rPr>
        <w:t>Investments in R&amp;D are expenses that are included in the Department’s Net Cost of Operations. The investments are divided into three categories:</w:t>
      </w:r>
    </w:p>
    <w:p w14:paraId="7C7E4A21" w14:textId="14290643" w:rsidR="003724B6" w:rsidRPr="00BE6C3D" w:rsidRDefault="003724B6" w:rsidP="003724B6">
      <w:pPr>
        <w:numPr>
          <w:ilvl w:val="0"/>
          <w:numId w:val="16"/>
        </w:numPr>
        <w:autoSpaceDE w:val="0"/>
        <w:autoSpaceDN w:val="0"/>
        <w:adjustRightInd w:val="0"/>
        <w:spacing w:after="0" w:line="240" w:lineRule="auto"/>
        <w:rPr>
          <w:rFonts w:ascii="Times New Roman" w:hAnsi="Times New Roman"/>
          <w:color w:val="221E1F"/>
          <w:sz w:val="24"/>
          <w:szCs w:val="24"/>
        </w:rPr>
      </w:pPr>
      <w:r w:rsidRPr="00BE6C3D">
        <w:rPr>
          <w:rFonts w:ascii="Times New Roman" w:hAnsi="Times New Roman"/>
          <w:color w:val="221E1F"/>
          <w:sz w:val="24"/>
          <w:szCs w:val="24"/>
        </w:rPr>
        <w:t>Basic Research</w:t>
      </w:r>
      <w:r w:rsidR="003830EC">
        <w:rPr>
          <w:rFonts w:ascii="Times New Roman" w:hAnsi="Times New Roman"/>
          <w:color w:val="221E1F"/>
          <w:sz w:val="24"/>
          <w:szCs w:val="24"/>
        </w:rPr>
        <w:t xml:space="preserve">, the systematic study to gain </w:t>
      </w:r>
      <w:r w:rsidR="00BB1E24" w:rsidRPr="00273AD9">
        <w:rPr>
          <w:rFonts w:ascii="Times New Roman" w:hAnsi="Times New Roman"/>
          <w:color w:val="221E1F"/>
          <w:sz w:val="24"/>
          <w:szCs w:val="24"/>
        </w:rPr>
        <w:t xml:space="preserve">knowledge </w:t>
      </w:r>
      <w:r w:rsidR="00B82423">
        <w:rPr>
          <w:rFonts w:ascii="Times New Roman" w:hAnsi="Times New Roman"/>
          <w:color w:val="221E1F"/>
          <w:sz w:val="24"/>
          <w:szCs w:val="24"/>
        </w:rPr>
        <w:t xml:space="preserve">or understanding of the fundamental aspects of </w:t>
      </w:r>
      <w:r w:rsidR="00BB1E24" w:rsidRPr="00273AD9">
        <w:rPr>
          <w:rFonts w:ascii="Times New Roman" w:hAnsi="Times New Roman"/>
          <w:color w:val="221E1F"/>
          <w:sz w:val="24"/>
          <w:szCs w:val="24"/>
        </w:rPr>
        <w:t>phenomena and observable facts</w:t>
      </w:r>
      <w:r w:rsidR="00B82423">
        <w:rPr>
          <w:rFonts w:ascii="Times New Roman" w:hAnsi="Times New Roman"/>
          <w:color w:val="221E1F"/>
          <w:sz w:val="24"/>
          <w:szCs w:val="24"/>
        </w:rPr>
        <w:t xml:space="preserve"> without specific applications toward processes or products </w:t>
      </w:r>
      <w:r w:rsidR="00BB1E24" w:rsidRPr="00273AD9">
        <w:rPr>
          <w:rFonts w:ascii="Times New Roman" w:hAnsi="Times New Roman"/>
          <w:color w:val="221E1F"/>
          <w:sz w:val="24"/>
          <w:szCs w:val="24"/>
        </w:rPr>
        <w:t>in mind</w:t>
      </w:r>
      <w:r w:rsidR="00B82423">
        <w:rPr>
          <w:rFonts w:ascii="Times New Roman" w:hAnsi="Times New Roman"/>
          <w:color w:val="221E1F"/>
          <w:sz w:val="24"/>
          <w:szCs w:val="24"/>
        </w:rPr>
        <w:t>;</w:t>
      </w:r>
    </w:p>
    <w:p w14:paraId="13EED0E6" w14:textId="3D30F9C7" w:rsidR="003724B6" w:rsidRPr="00BE6C3D" w:rsidRDefault="003724B6" w:rsidP="003724B6">
      <w:pPr>
        <w:numPr>
          <w:ilvl w:val="0"/>
          <w:numId w:val="16"/>
        </w:numPr>
        <w:autoSpaceDE w:val="0"/>
        <w:autoSpaceDN w:val="0"/>
        <w:adjustRightInd w:val="0"/>
        <w:spacing w:after="0" w:line="240" w:lineRule="auto"/>
        <w:rPr>
          <w:rFonts w:ascii="Times New Roman" w:hAnsi="Times New Roman"/>
          <w:color w:val="221E1F"/>
          <w:sz w:val="24"/>
          <w:szCs w:val="24"/>
        </w:rPr>
      </w:pPr>
      <w:r w:rsidRPr="00BE6C3D">
        <w:rPr>
          <w:rFonts w:ascii="Times New Roman" w:hAnsi="Times New Roman"/>
          <w:color w:val="221E1F"/>
          <w:sz w:val="24"/>
          <w:szCs w:val="24"/>
        </w:rPr>
        <w:t>Applied Research</w:t>
      </w:r>
      <w:r w:rsidR="00B82423">
        <w:rPr>
          <w:rFonts w:ascii="Times New Roman" w:hAnsi="Times New Roman"/>
          <w:color w:val="221E1F"/>
          <w:sz w:val="24"/>
          <w:szCs w:val="24"/>
        </w:rPr>
        <w:t xml:space="preserve">, the systematic study to gain knowledge or understanding necessary for determining the means by which a recognized or specific need may be met; and </w:t>
      </w:r>
    </w:p>
    <w:p w14:paraId="4BD0B33D" w14:textId="0AB7A105" w:rsidR="003724B6" w:rsidRPr="00BE6C3D" w:rsidRDefault="003724B6" w:rsidP="003724B6">
      <w:pPr>
        <w:numPr>
          <w:ilvl w:val="0"/>
          <w:numId w:val="16"/>
        </w:numPr>
        <w:autoSpaceDE w:val="0"/>
        <w:autoSpaceDN w:val="0"/>
        <w:adjustRightInd w:val="0"/>
        <w:spacing w:after="0" w:line="240" w:lineRule="auto"/>
        <w:rPr>
          <w:rFonts w:ascii="Times New Roman" w:hAnsi="Times New Roman"/>
          <w:color w:val="221E1F"/>
          <w:sz w:val="24"/>
          <w:szCs w:val="24"/>
        </w:rPr>
      </w:pPr>
      <w:r w:rsidRPr="00BE6C3D">
        <w:rPr>
          <w:rFonts w:ascii="Times New Roman" w:hAnsi="Times New Roman"/>
          <w:color w:val="221E1F"/>
          <w:sz w:val="24"/>
          <w:szCs w:val="24"/>
        </w:rPr>
        <w:t>Development</w:t>
      </w:r>
      <w:r w:rsidR="00B82423">
        <w:rPr>
          <w:rFonts w:ascii="Times New Roman" w:hAnsi="Times New Roman"/>
          <w:color w:val="221E1F"/>
          <w:sz w:val="24"/>
          <w:szCs w:val="24"/>
        </w:rPr>
        <w:t>, the systematic use of the knowledge and understanding gained from research for the production of useful materials, devices, systems, or methods, including the design and development of prototypes and processes</w:t>
      </w:r>
      <w:r w:rsidR="00BB1E24" w:rsidRPr="00273AD9">
        <w:rPr>
          <w:rFonts w:ascii="Times New Roman" w:hAnsi="Times New Roman"/>
          <w:color w:val="221E1F"/>
          <w:sz w:val="24"/>
          <w:szCs w:val="24"/>
        </w:rPr>
        <w:t>.</w:t>
      </w:r>
    </w:p>
    <w:p w14:paraId="20790108" w14:textId="77777777" w:rsidR="003724B6" w:rsidRPr="00BE6C3D" w:rsidRDefault="003724B6" w:rsidP="003724B6">
      <w:pPr>
        <w:autoSpaceDE w:val="0"/>
        <w:autoSpaceDN w:val="0"/>
        <w:adjustRightInd w:val="0"/>
        <w:spacing w:after="0" w:line="240" w:lineRule="auto"/>
        <w:rPr>
          <w:rFonts w:ascii="Times New Roman" w:hAnsi="Times New Roman"/>
          <w:color w:val="221E1F"/>
          <w:sz w:val="24"/>
          <w:szCs w:val="24"/>
        </w:rPr>
      </w:pPr>
    </w:p>
    <w:p w14:paraId="5D294986" w14:textId="77777777" w:rsidR="003724B6" w:rsidRPr="00BE6C3D" w:rsidRDefault="003724B6" w:rsidP="003724B6">
      <w:pPr>
        <w:autoSpaceDE w:val="0"/>
        <w:autoSpaceDN w:val="0"/>
        <w:adjustRightInd w:val="0"/>
        <w:spacing w:after="0" w:line="240" w:lineRule="auto"/>
        <w:rPr>
          <w:rFonts w:ascii="Times New Roman" w:hAnsi="Times New Roman"/>
          <w:color w:val="221E1F"/>
          <w:sz w:val="24"/>
          <w:szCs w:val="24"/>
        </w:rPr>
      </w:pPr>
      <w:r w:rsidRPr="00BE6C3D">
        <w:rPr>
          <w:rFonts w:ascii="Times New Roman" w:hAnsi="Times New Roman"/>
          <w:color w:val="221E1F"/>
          <w:sz w:val="24"/>
          <w:szCs w:val="24"/>
        </w:rPr>
        <w:t>The investments are made with the expectation of maintaining or increasing national economic productive capacity, or yielding other future economic or societal benefits. Based on a review of the Department’s programs, NOAA makes significant investments in R&amp;D.</w:t>
      </w:r>
    </w:p>
    <w:p w14:paraId="13F68DAC" w14:textId="77777777" w:rsidR="00557F1C" w:rsidRDefault="00557F1C">
      <w:pPr>
        <w:spacing w:after="0" w:line="240" w:lineRule="auto"/>
        <w:rPr>
          <w:rFonts w:ascii="Times New Roman" w:eastAsia="Times New Roman" w:hAnsi="Times New Roman"/>
          <w:color w:val="000000"/>
          <w:sz w:val="24"/>
          <w:szCs w:val="24"/>
        </w:rPr>
      </w:pPr>
    </w:p>
    <w:p w14:paraId="3BE3BAC5" w14:textId="77777777" w:rsidR="00B82423" w:rsidRDefault="00B8242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4855B6AD" w14:textId="0DB38AE2" w:rsidR="00E56950" w:rsidRDefault="003724B6" w:rsidP="003724B6">
      <w:pPr>
        <w:autoSpaceDE w:val="0"/>
        <w:autoSpaceDN w:val="0"/>
        <w:adjustRightInd w:val="0"/>
        <w:spacing w:after="0" w:line="240" w:lineRule="auto"/>
        <w:rPr>
          <w:rFonts w:ascii="Times New Roman" w:eastAsia="Times New Roman" w:hAnsi="Times New Roman"/>
          <w:color w:val="000000"/>
          <w:sz w:val="24"/>
          <w:szCs w:val="24"/>
        </w:rPr>
      </w:pPr>
      <w:r w:rsidRPr="00BE6C3D">
        <w:rPr>
          <w:rFonts w:ascii="Times New Roman" w:eastAsia="Times New Roman" w:hAnsi="Times New Roman"/>
          <w:color w:val="000000"/>
          <w:sz w:val="24"/>
          <w:szCs w:val="24"/>
        </w:rPr>
        <w:lastRenderedPageBreak/>
        <w:t>NOAA’s R&amp;D investments by program from FY 2</w:t>
      </w:r>
      <w:r w:rsidR="00E677DC">
        <w:rPr>
          <w:rFonts w:ascii="Times New Roman" w:eastAsia="Times New Roman" w:hAnsi="Times New Roman"/>
          <w:color w:val="000000"/>
          <w:sz w:val="24"/>
          <w:szCs w:val="24"/>
        </w:rPr>
        <w:t>01</w:t>
      </w:r>
      <w:r w:rsidR="002963FB">
        <w:rPr>
          <w:rFonts w:ascii="Times New Roman" w:eastAsia="Times New Roman" w:hAnsi="Times New Roman"/>
          <w:color w:val="000000"/>
          <w:sz w:val="24"/>
          <w:szCs w:val="24"/>
        </w:rPr>
        <w:t>7</w:t>
      </w:r>
      <w:r w:rsidR="00E677DC">
        <w:rPr>
          <w:rFonts w:ascii="Times New Roman" w:eastAsia="Times New Roman" w:hAnsi="Times New Roman"/>
          <w:color w:val="000000"/>
          <w:sz w:val="24"/>
          <w:szCs w:val="24"/>
        </w:rPr>
        <w:t xml:space="preserve"> through FY 202</w:t>
      </w:r>
      <w:r w:rsidR="002963FB">
        <w:rPr>
          <w:rFonts w:ascii="Times New Roman" w:eastAsia="Times New Roman" w:hAnsi="Times New Roman"/>
          <w:color w:val="000000"/>
          <w:sz w:val="24"/>
          <w:szCs w:val="24"/>
        </w:rPr>
        <w:t>1</w:t>
      </w:r>
      <w:r w:rsidRPr="00BE6C3D">
        <w:rPr>
          <w:rFonts w:ascii="Times New Roman" w:eastAsia="Times New Roman" w:hAnsi="Times New Roman"/>
          <w:color w:val="000000"/>
          <w:sz w:val="24"/>
          <w:szCs w:val="24"/>
        </w:rPr>
        <w:t xml:space="preserve"> were as follows (in millions):</w:t>
      </w:r>
    </w:p>
    <w:p w14:paraId="14D7CD25" w14:textId="77777777" w:rsidR="003724B6" w:rsidRDefault="003724B6" w:rsidP="003724B6">
      <w:pPr>
        <w:autoSpaceDE w:val="0"/>
        <w:autoSpaceDN w:val="0"/>
        <w:adjustRightInd w:val="0"/>
        <w:spacing w:after="0" w:line="240" w:lineRule="auto"/>
        <w:rPr>
          <w:rFonts w:ascii="Times New Roman" w:eastAsia="Times New Roman" w:hAnsi="Times New Roman"/>
          <w:color w:val="000000"/>
          <w:sz w:val="24"/>
          <w:szCs w:val="24"/>
        </w:rPr>
      </w:pPr>
    </w:p>
    <w:tbl>
      <w:tblPr>
        <w:tblW w:w="10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810"/>
        <w:gridCol w:w="1080"/>
        <w:gridCol w:w="1080"/>
        <w:gridCol w:w="900"/>
        <w:gridCol w:w="900"/>
        <w:gridCol w:w="900"/>
        <w:gridCol w:w="900"/>
        <w:gridCol w:w="900"/>
        <w:gridCol w:w="1080"/>
      </w:tblGrid>
      <w:tr w:rsidR="007F3490" w:rsidRPr="00BE6C3D" w14:paraId="27110EC8" w14:textId="7BE9E20D" w:rsidTr="003C11FB">
        <w:trPr>
          <w:trHeight w:val="630"/>
        </w:trPr>
        <w:tc>
          <w:tcPr>
            <w:tcW w:w="1867" w:type="dxa"/>
            <w:shd w:val="clear" w:color="auto" w:fill="000000"/>
            <w:noWrap/>
            <w:vAlign w:val="bottom"/>
            <w:hideMark/>
          </w:tcPr>
          <w:p w14:paraId="35E5BC1D" w14:textId="77777777" w:rsidR="003D7191" w:rsidRPr="00BE6C3D" w:rsidRDefault="003D7191" w:rsidP="00FA0EC3">
            <w:pPr>
              <w:spacing w:after="0" w:line="240" w:lineRule="auto"/>
              <w:rPr>
                <w:rFonts w:ascii="Times New Roman" w:eastAsia="Times New Roman" w:hAnsi="Times New Roman"/>
                <w:b/>
                <w:bCs/>
                <w:color w:val="FFFFFF"/>
                <w:sz w:val="24"/>
                <w:szCs w:val="24"/>
              </w:rPr>
            </w:pPr>
            <w:r w:rsidRPr="00BE6C3D">
              <w:rPr>
                <w:rFonts w:ascii="Times New Roman" w:eastAsia="Times New Roman" w:hAnsi="Times New Roman"/>
                <w:b/>
                <w:bCs/>
                <w:color w:val="FFFFFF"/>
                <w:sz w:val="24"/>
                <w:szCs w:val="24"/>
              </w:rPr>
              <w:t xml:space="preserve">Program </w:t>
            </w:r>
          </w:p>
        </w:tc>
        <w:tc>
          <w:tcPr>
            <w:tcW w:w="810" w:type="dxa"/>
            <w:shd w:val="clear" w:color="auto" w:fill="000000"/>
            <w:vAlign w:val="bottom"/>
          </w:tcPr>
          <w:p w14:paraId="496E7CCD" w14:textId="477666FF" w:rsidR="003D7191" w:rsidRPr="00E77144" w:rsidRDefault="003D7191" w:rsidP="00FA0EC3">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w:t>
            </w:r>
            <w:r w:rsidR="008B019D">
              <w:rPr>
                <w:rFonts w:ascii="Times New Roman" w:eastAsia="Times New Roman" w:hAnsi="Times New Roman"/>
                <w:b/>
                <w:bCs/>
                <w:sz w:val="24"/>
                <w:szCs w:val="24"/>
              </w:rPr>
              <w:t>1</w:t>
            </w:r>
          </w:p>
          <w:p w14:paraId="2EB69D44" w14:textId="77777777" w:rsidR="003D7191" w:rsidRPr="00E77144" w:rsidRDefault="003D7191" w:rsidP="00FA0EC3">
            <w:pPr>
              <w:spacing w:after="0" w:line="240" w:lineRule="auto"/>
              <w:jc w:val="center"/>
              <w:rPr>
                <w:rFonts w:ascii="Times New Roman" w:eastAsia="Times New Roman" w:hAnsi="Times New Roman"/>
                <w:b/>
                <w:bCs/>
                <w:sz w:val="24"/>
                <w:szCs w:val="24"/>
              </w:rPr>
            </w:pPr>
            <w:r w:rsidRPr="00E77144">
              <w:rPr>
                <w:rFonts w:ascii="Times New Roman" w:eastAsia="Times New Roman" w:hAnsi="Times New Roman"/>
                <w:b/>
                <w:bCs/>
                <w:sz w:val="24"/>
                <w:szCs w:val="24"/>
              </w:rPr>
              <w:t xml:space="preserve">Basic </w:t>
            </w:r>
          </w:p>
        </w:tc>
        <w:tc>
          <w:tcPr>
            <w:tcW w:w="1080" w:type="dxa"/>
            <w:shd w:val="clear" w:color="auto" w:fill="000000"/>
            <w:noWrap/>
            <w:vAlign w:val="bottom"/>
            <w:hideMark/>
          </w:tcPr>
          <w:p w14:paraId="2EBBF68C" w14:textId="245A20F3" w:rsidR="003D7191" w:rsidRPr="00E77144" w:rsidRDefault="003D7191" w:rsidP="00FA0EC3">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w:t>
            </w:r>
            <w:r w:rsidR="008B019D">
              <w:rPr>
                <w:rFonts w:ascii="Times New Roman" w:eastAsia="Times New Roman" w:hAnsi="Times New Roman"/>
                <w:b/>
                <w:bCs/>
                <w:sz w:val="24"/>
                <w:szCs w:val="24"/>
              </w:rPr>
              <w:t>1</w:t>
            </w:r>
          </w:p>
          <w:p w14:paraId="7BEE1F37" w14:textId="77777777" w:rsidR="003D7191" w:rsidRPr="00E77144" w:rsidRDefault="003D7191" w:rsidP="00FA0EC3">
            <w:pPr>
              <w:spacing w:after="0" w:line="240" w:lineRule="auto"/>
              <w:jc w:val="center"/>
              <w:rPr>
                <w:rFonts w:ascii="Times New Roman" w:eastAsia="Times New Roman" w:hAnsi="Times New Roman"/>
                <w:b/>
                <w:bCs/>
                <w:sz w:val="24"/>
                <w:szCs w:val="24"/>
              </w:rPr>
            </w:pPr>
            <w:r w:rsidRPr="00E77144">
              <w:rPr>
                <w:rFonts w:ascii="Times New Roman" w:eastAsia="Times New Roman" w:hAnsi="Times New Roman"/>
                <w:b/>
                <w:bCs/>
                <w:sz w:val="24"/>
                <w:szCs w:val="24"/>
              </w:rPr>
              <w:t xml:space="preserve">Applied </w:t>
            </w:r>
          </w:p>
        </w:tc>
        <w:tc>
          <w:tcPr>
            <w:tcW w:w="1080" w:type="dxa"/>
            <w:shd w:val="clear" w:color="auto" w:fill="000000"/>
            <w:noWrap/>
            <w:vAlign w:val="bottom"/>
            <w:hideMark/>
          </w:tcPr>
          <w:p w14:paraId="79307052" w14:textId="30AEDBBA" w:rsidR="003D7191" w:rsidRPr="00E77144" w:rsidRDefault="003D7191" w:rsidP="00FA0EC3">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w:t>
            </w:r>
            <w:r w:rsidR="008B019D">
              <w:rPr>
                <w:rFonts w:ascii="Times New Roman" w:eastAsia="Times New Roman" w:hAnsi="Times New Roman"/>
                <w:b/>
                <w:bCs/>
                <w:sz w:val="24"/>
                <w:szCs w:val="24"/>
              </w:rPr>
              <w:t>1</w:t>
            </w:r>
          </w:p>
          <w:p w14:paraId="5251F6FE" w14:textId="77777777" w:rsidR="003D7191" w:rsidRPr="00E77144" w:rsidRDefault="003D7191" w:rsidP="00FA0EC3">
            <w:pPr>
              <w:spacing w:after="0" w:line="240" w:lineRule="auto"/>
              <w:jc w:val="center"/>
              <w:rPr>
                <w:rFonts w:ascii="Times New Roman" w:eastAsia="Times New Roman" w:hAnsi="Times New Roman"/>
                <w:b/>
                <w:bCs/>
                <w:sz w:val="24"/>
                <w:szCs w:val="24"/>
              </w:rPr>
            </w:pPr>
            <w:r w:rsidRPr="00E77144">
              <w:rPr>
                <w:rFonts w:ascii="Times New Roman" w:eastAsia="Times New Roman" w:hAnsi="Times New Roman"/>
                <w:b/>
                <w:bCs/>
                <w:sz w:val="24"/>
                <w:szCs w:val="24"/>
              </w:rPr>
              <w:t>Develop</w:t>
            </w:r>
            <w:r>
              <w:rPr>
                <w:rFonts w:ascii="Times New Roman" w:eastAsia="Times New Roman" w:hAnsi="Times New Roman"/>
                <w:b/>
                <w:bCs/>
                <w:sz w:val="24"/>
                <w:szCs w:val="24"/>
              </w:rPr>
              <w:t>-</w:t>
            </w:r>
            <w:proofErr w:type="spellStart"/>
            <w:r w:rsidRPr="00E77144">
              <w:rPr>
                <w:rFonts w:ascii="Times New Roman" w:eastAsia="Times New Roman" w:hAnsi="Times New Roman"/>
                <w:b/>
                <w:bCs/>
                <w:sz w:val="24"/>
                <w:szCs w:val="24"/>
              </w:rPr>
              <w:t>ment</w:t>
            </w:r>
            <w:proofErr w:type="spellEnd"/>
          </w:p>
        </w:tc>
        <w:tc>
          <w:tcPr>
            <w:tcW w:w="900" w:type="dxa"/>
            <w:shd w:val="clear" w:color="auto" w:fill="000000"/>
            <w:vAlign w:val="bottom"/>
            <w:hideMark/>
          </w:tcPr>
          <w:p w14:paraId="2D7D5C32" w14:textId="3F30330E" w:rsidR="003D7191" w:rsidRPr="00E77144" w:rsidRDefault="003D7191" w:rsidP="00FA0EC3">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w:t>
            </w:r>
            <w:r w:rsidR="00ED44B5">
              <w:rPr>
                <w:rFonts w:ascii="Times New Roman" w:eastAsia="Times New Roman" w:hAnsi="Times New Roman"/>
                <w:b/>
                <w:bCs/>
                <w:sz w:val="24"/>
                <w:szCs w:val="24"/>
              </w:rPr>
              <w:t>1</w:t>
            </w:r>
            <w:r w:rsidRPr="00E77144">
              <w:rPr>
                <w:rFonts w:ascii="Times New Roman" w:eastAsia="Times New Roman" w:hAnsi="Times New Roman"/>
                <w:b/>
                <w:bCs/>
                <w:sz w:val="24"/>
                <w:szCs w:val="24"/>
              </w:rPr>
              <w:t xml:space="preserve"> Total </w:t>
            </w:r>
          </w:p>
        </w:tc>
        <w:tc>
          <w:tcPr>
            <w:tcW w:w="900" w:type="dxa"/>
            <w:shd w:val="clear" w:color="auto" w:fill="000000"/>
            <w:vAlign w:val="bottom"/>
          </w:tcPr>
          <w:p w14:paraId="3D46AF8C" w14:textId="67260979" w:rsidR="003D7191" w:rsidRPr="00E77144" w:rsidRDefault="003D7191" w:rsidP="007E0A9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w:t>
            </w:r>
            <w:r w:rsidR="00ED44B5">
              <w:rPr>
                <w:rFonts w:ascii="Times New Roman" w:eastAsia="Times New Roman" w:hAnsi="Times New Roman"/>
                <w:b/>
                <w:bCs/>
                <w:sz w:val="24"/>
                <w:szCs w:val="24"/>
              </w:rPr>
              <w:t>20</w:t>
            </w:r>
          </w:p>
        </w:tc>
        <w:tc>
          <w:tcPr>
            <w:tcW w:w="900" w:type="dxa"/>
            <w:shd w:val="clear" w:color="auto" w:fill="000000"/>
            <w:vAlign w:val="bottom"/>
          </w:tcPr>
          <w:p w14:paraId="5BC96F57" w14:textId="394663DD" w:rsidR="003D7191" w:rsidRPr="00E77144" w:rsidRDefault="003D7191" w:rsidP="00FA0EC3">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201</w:t>
            </w:r>
            <w:r w:rsidR="00ED44B5">
              <w:rPr>
                <w:rFonts w:ascii="Times New Roman" w:eastAsia="Times New Roman" w:hAnsi="Times New Roman"/>
                <w:b/>
                <w:bCs/>
                <w:sz w:val="24"/>
                <w:szCs w:val="24"/>
              </w:rPr>
              <w:t>9</w:t>
            </w:r>
          </w:p>
        </w:tc>
        <w:tc>
          <w:tcPr>
            <w:tcW w:w="900" w:type="dxa"/>
            <w:shd w:val="clear" w:color="auto" w:fill="000000"/>
            <w:vAlign w:val="bottom"/>
          </w:tcPr>
          <w:p w14:paraId="59C14282" w14:textId="5C71E741" w:rsidR="003D7191" w:rsidRPr="00E77144" w:rsidRDefault="003D7191" w:rsidP="00FA0EC3">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201</w:t>
            </w:r>
            <w:r w:rsidR="00ED44B5">
              <w:rPr>
                <w:rFonts w:ascii="Times New Roman" w:eastAsia="Times New Roman" w:hAnsi="Times New Roman"/>
                <w:b/>
                <w:bCs/>
                <w:sz w:val="24"/>
                <w:szCs w:val="24"/>
              </w:rPr>
              <w:t>8</w:t>
            </w:r>
          </w:p>
        </w:tc>
        <w:tc>
          <w:tcPr>
            <w:tcW w:w="900" w:type="dxa"/>
            <w:shd w:val="clear" w:color="auto" w:fill="000000"/>
            <w:noWrap/>
            <w:vAlign w:val="bottom"/>
            <w:hideMark/>
          </w:tcPr>
          <w:p w14:paraId="66215043" w14:textId="18C19DE1" w:rsidR="003D7191" w:rsidRPr="00BE6C3D" w:rsidRDefault="003D7191" w:rsidP="00FA0EC3">
            <w:pPr>
              <w:spacing w:after="0" w:line="240" w:lineRule="auto"/>
              <w:jc w:val="center"/>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201</w:t>
            </w:r>
            <w:r w:rsidR="00ED44B5">
              <w:rPr>
                <w:rFonts w:ascii="Times New Roman" w:eastAsia="Times New Roman" w:hAnsi="Times New Roman"/>
                <w:b/>
                <w:bCs/>
                <w:color w:val="FFFFFF"/>
                <w:sz w:val="24"/>
                <w:szCs w:val="24"/>
              </w:rPr>
              <w:t>7</w:t>
            </w:r>
          </w:p>
        </w:tc>
        <w:tc>
          <w:tcPr>
            <w:tcW w:w="1080" w:type="dxa"/>
            <w:shd w:val="clear" w:color="auto" w:fill="000000"/>
            <w:vAlign w:val="bottom"/>
          </w:tcPr>
          <w:p w14:paraId="5691F600" w14:textId="099CF929" w:rsidR="003D7191" w:rsidRDefault="00056ED5" w:rsidP="007F3490">
            <w:pPr>
              <w:spacing w:after="0" w:line="240" w:lineRule="auto"/>
              <w:jc w:val="center"/>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Total</w:t>
            </w:r>
          </w:p>
        </w:tc>
      </w:tr>
      <w:tr w:rsidR="007F3490" w:rsidRPr="00BE6C3D" w14:paraId="3A846067" w14:textId="38973059" w:rsidTr="003C11FB">
        <w:trPr>
          <w:trHeight w:val="315"/>
        </w:trPr>
        <w:tc>
          <w:tcPr>
            <w:tcW w:w="1867" w:type="dxa"/>
            <w:shd w:val="clear" w:color="auto" w:fill="auto"/>
            <w:noWrap/>
            <w:vAlign w:val="bottom"/>
            <w:hideMark/>
          </w:tcPr>
          <w:p w14:paraId="5470CC79" w14:textId="77777777" w:rsidR="003D7191" w:rsidRPr="00BE6C3D" w:rsidRDefault="003D7191" w:rsidP="009E46A4">
            <w:pPr>
              <w:spacing w:after="0" w:line="240" w:lineRule="auto"/>
              <w:rPr>
                <w:rFonts w:ascii="Times New Roman" w:eastAsia="Times New Roman" w:hAnsi="Times New Roman"/>
                <w:color w:val="000000"/>
                <w:sz w:val="24"/>
                <w:szCs w:val="24"/>
              </w:rPr>
            </w:pPr>
            <w:r w:rsidRPr="00BE6C3D">
              <w:rPr>
                <w:rFonts w:ascii="Times New Roman" w:eastAsia="Times New Roman" w:hAnsi="Times New Roman"/>
                <w:color w:val="000000"/>
                <w:sz w:val="24"/>
                <w:szCs w:val="24"/>
              </w:rPr>
              <w:t>Environmental and Climate</w:t>
            </w:r>
          </w:p>
        </w:tc>
        <w:tc>
          <w:tcPr>
            <w:tcW w:w="810" w:type="dxa"/>
            <w:shd w:val="clear" w:color="auto" w:fill="auto"/>
            <w:vAlign w:val="center"/>
          </w:tcPr>
          <w:p w14:paraId="0661122E" w14:textId="7EF2F212" w:rsidR="003D7191" w:rsidRPr="008646F0" w:rsidRDefault="003D7191" w:rsidP="009E46A4">
            <w:pPr>
              <w:spacing w:after="0" w:line="240" w:lineRule="auto"/>
              <w:jc w:val="right"/>
              <w:rPr>
                <w:rFonts w:ascii="Times New Roman" w:eastAsia="Times New Roman" w:hAnsi="Times New Roman"/>
                <w:sz w:val="24"/>
                <w:szCs w:val="24"/>
                <w:highlight w:val="red"/>
              </w:rPr>
            </w:pPr>
            <w:r w:rsidRPr="008646F0">
              <w:rPr>
                <w:rFonts w:ascii="Times New Roman" w:eastAsia="Times New Roman" w:hAnsi="Times New Roman"/>
                <w:sz w:val="24"/>
                <w:szCs w:val="24"/>
                <w:highlight w:val="red"/>
              </w:rPr>
              <w:t>$0</w:t>
            </w:r>
          </w:p>
        </w:tc>
        <w:tc>
          <w:tcPr>
            <w:tcW w:w="1080" w:type="dxa"/>
            <w:shd w:val="clear" w:color="auto" w:fill="auto"/>
            <w:noWrap/>
            <w:vAlign w:val="center"/>
            <w:hideMark/>
          </w:tcPr>
          <w:p w14:paraId="5503287B" w14:textId="0DF3EFFF" w:rsidR="003D7191" w:rsidRPr="008646F0" w:rsidRDefault="003D7191">
            <w:pPr>
              <w:spacing w:after="0" w:line="240" w:lineRule="auto"/>
              <w:jc w:val="right"/>
              <w:rPr>
                <w:rFonts w:ascii="Times New Roman" w:eastAsia="Times New Roman" w:hAnsi="Times New Roman"/>
                <w:sz w:val="24"/>
                <w:szCs w:val="24"/>
                <w:highlight w:val="red"/>
              </w:rPr>
            </w:pPr>
            <w:r w:rsidRPr="008646F0">
              <w:rPr>
                <w:rFonts w:ascii="Times New Roman" w:eastAsia="Times New Roman" w:hAnsi="Times New Roman"/>
                <w:sz w:val="24"/>
                <w:szCs w:val="24"/>
                <w:highlight w:val="red"/>
              </w:rPr>
              <w:t>$</w:t>
            </w:r>
            <w:r w:rsidR="007631FB">
              <w:rPr>
                <w:rFonts w:ascii="Times New Roman" w:eastAsia="Times New Roman" w:hAnsi="Times New Roman"/>
                <w:sz w:val="24"/>
                <w:szCs w:val="24"/>
                <w:highlight w:val="red"/>
              </w:rPr>
              <w:t>132.9</w:t>
            </w:r>
          </w:p>
        </w:tc>
        <w:tc>
          <w:tcPr>
            <w:tcW w:w="1080" w:type="dxa"/>
            <w:shd w:val="clear" w:color="auto" w:fill="auto"/>
            <w:noWrap/>
            <w:vAlign w:val="center"/>
            <w:hideMark/>
          </w:tcPr>
          <w:p w14:paraId="7534D23E" w14:textId="4F655212" w:rsidR="003D7191" w:rsidRPr="008646F0" w:rsidRDefault="003D7191">
            <w:pPr>
              <w:spacing w:after="0" w:line="240" w:lineRule="auto"/>
              <w:jc w:val="right"/>
              <w:rPr>
                <w:rFonts w:ascii="Times New Roman" w:eastAsia="Times New Roman" w:hAnsi="Times New Roman"/>
                <w:sz w:val="24"/>
                <w:szCs w:val="24"/>
                <w:highlight w:val="red"/>
              </w:rPr>
            </w:pPr>
            <w:r w:rsidRPr="008646F0">
              <w:rPr>
                <w:rFonts w:ascii="Times New Roman" w:eastAsia="Times New Roman" w:hAnsi="Times New Roman"/>
                <w:sz w:val="24"/>
                <w:szCs w:val="24"/>
                <w:highlight w:val="red"/>
              </w:rPr>
              <w:t>$</w:t>
            </w:r>
            <w:r w:rsidR="007631FB">
              <w:rPr>
                <w:rFonts w:ascii="Times New Roman" w:eastAsia="Times New Roman" w:hAnsi="Times New Roman"/>
                <w:sz w:val="24"/>
                <w:szCs w:val="24"/>
                <w:highlight w:val="red"/>
              </w:rPr>
              <w:t>21.2</w:t>
            </w:r>
          </w:p>
        </w:tc>
        <w:tc>
          <w:tcPr>
            <w:tcW w:w="900" w:type="dxa"/>
            <w:shd w:val="clear" w:color="auto" w:fill="auto"/>
            <w:noWrap/>
            <w:vAlign w:val="center"/>
            <w:hideMark/>
          </w:tcPr>
          <w:p w14:paraId="06729362" w14:textId="0EA96549" w:rsidR="003D7191" w:rsidRPr="008646F0" w:rsidRDefault="007631FB">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$154.1</w:t>
            </w:r>
          </w:p>
        </w:tc>
        <w:tc>
          <w:tcPr>
            <w:tcW w:w="900" w:type="dxa"/>
            <w:vAlign w:val="center"/>
          </w:tcPr>
          <w:p w14:paraId="748CB7A4" w14:textId="14406475" w:rsidR="003D7191" w:rsidRPr="00241ECE" w:rsidRDefault="003D7191" w:rsidP="009E46A4">
            <w:pPr>
              <w:spacing w:after="0" w:line="240" w:lineRule="auto"/>
              <w:jc w:val="right"/>
              <w:rPr>
                <w:rFonts w:ascii="Times New Roman" w:eastAsia="Times New Roman" w:hAnsi="Times New Roman"/>
                <w:sz w:val="24"/>
                <w:szCs w:val="24"/>
              </w:rPr>
            </w:pPr>
            <w:r w:rsidRPr="00241ECE">
              <w:rPr>
                <w:rFonts w:ascii="Times New Roman" w:eastAsia="Times New Roman" w:hAnsi="Times New Roman"/>
                <w:sz w:val="24"/>
                <w:szCs w:val="24"/>
              </w:rPr>
              <w:t>$5</w:t>
            </w:r>
            <w:r w:rsidR="00ED44B5">
              <w:rPr>
                <w:rFonts w:ascii="Times New Roman" w:eastAsia="Times New Roman" w:hAnsi="Times New Roman"/>
                <w:sz w:val="24"/>
                <w:szCs w:val="24"/>
              </w:rPr>
              <w:t>31.2</w:t>
            </w:r>
          </w:p>
        </w:tc>
        <w:tc>
          <w:tcPr>
            <w:tcW w:w="900" w:type="dxa"/>
            <w:vAlign w:val="center"/>
          </w:tcPr>
          <w:p w14:paraId="556E12C0" w14:textId="055A9228" w:rsidR="003D7191" w:rsidRPr="00BC2828" w:rsidRDefault="003D7191" w:rsidP="009E46A4">
            <w:pPr>
              <w:spacing w:after="0" w:line="240" w:lineRule="auto"/>
              <w:jc w:val="right"/>
              <w:rPr>
                <w:rFonts w:ascii="Times New Roman" w:eastAsia="Times New Roman" w:hAnsi="Times New Roman"/>
                <w:sz w:val="24"/>
                <w:szCs w:val="24"/>
              </w:rPr>
            </w:pPr>
            <w:r w:rsidRPr="00566217">
              <w:rPr>
                <w:rFonts w:ascii="Times New Roman" w:eastAsia="Times New Roman" w:hAnsi="Times New Roman"/>
                <w:sz w:val="24"/>
                <w:szCs w:val="24"/>
              </w:rPr>
              <w:t>$</w:t>
            </w:r>
            <w:r w:rsidR="00ED44B5">
              <w:rPr>
                <w:rFonts w:ascii="Times New Roman" w:eastAsia="Times New Roman" w:hAnsi="Times New Roman"/>
                <w:sz w:val="24"/>
                <w:szCs w:val="24"/>
              </w:rPr>
              <w:t>536.5</w:t>
            </w:r>
          </w:p>
        </w:tc>
        <w:tc>
          <w:tcPr>
            <w:tcW w:w="900" w:type="dxa"/>
            <w:shd w:val="clear" w:color="auto" w:fill="auto"/>
            <w:vAlign w:val="center"/>
          </w:tcPr>
          <w:p w14:paraId="7AD23978" w14:textId="7EA5BE1A" w:rsidR="003D7191" w:rsidRPr="00E77144" w:rsidRDefault="003D7191" w:rsidP="009E46A4">
            <w:pPr>
              <w:spacing w:after="0" w:line="240" w:lineRule="auto"/>
              <w:jc w:val="right"/>
              <w:rPr>
                <w:rFonts w:ascii="Times New Roman" w:eastAsia="Times New Roman" w:hAnsi="Times New Roman"/>
                <w:sz w:val="24"/>
                <w:szCs w:val="24"/>
              </w:rPr>
            </w:pPr>
            <w:r w:rsidRPr="00BC2828">
              <w:rPr>
                <w:rFonts w:ascii="Times New Roman" w:eastAsia="Times New Roman" w:hAnsi="Times New Roman"/>
                <w:sz w:val="24"/>
                <w:szCs w:val="24"/>
              </w:rPr>
              <w:t>$</w:t>
            </w:r>
            <w:r w:rsidR="00ED44B5">
              <w:rPr>
                <w:rFonts w:ascii="Times New Roman" w:eastAsia="Times New Roman" w:hAnsi="Times New Roman"/>
                <w:sz w:val="24"/>
                <w:szCs w:val="24"/>
              </w:rPr>
              <w:t>488.6</w:t>
            </w:r>
          </w:p>
        </w:tc>
        <w:tc>
          <w:tcPr>
            <w:tcW w:w="900" w:type="dxa"/>
            <w:shd w:val="clear" w:color="auto" w:fill="auto"/>
            <w:noWrap/>
            <w:vAlign w:val="center"/>
            <w:hideMark/>
          </w:tcPr>
          <w:p w14:paraId="6DF3BC1C" w14:textId="377AE6C7" w:rsidR="003D7191" w:rsidRPr="00BE6C3D" w:rsidRDefault="003D7191" w:rsidP="009E46A4">
            <w:pPr>
              <w:spacing w:after="0" w:line="240" w:lineRule="auto"/>
              <w:jc w:val="right"/>
              <w:rPr>
                <w:rFonts w:ascii="Times New Roman" w:eastAsia="Times New Roman" w:hAnsi="Times New Roman"/>
                <w:color w:val="000000"/>
                <w:sz w:val="24"/>
                <w:szCs w:val="24"/>
              </w:rPr>
            </w:pPr>
            <w:r w:rsidRPr="00E77144">
              <w:rPr>
                <w:rFonts w:ascii="Times New Roman" w:eastAsia="Times New Roman" w:hAnsi="Times New Roman"/>
                <w:sz w:val="24"/>
                <w:szCs w:val="24"/>
              </w:rPr>
              <w:t>$4</w:t>
            </w:r>
            <w:r w:rsidR="00ED44B5">
              <w:rPr>
                <w:rFonts w:ascii="Times New Roman" w:eastAsia="Times New Roman" w:hAnsi="Times New Roman"/>
                <w:sz w:val="24"/>
                <w:szCs w:val="24"/>
              </w:rPr>
              <w:t>52.5</w:t>
            </w:r>
          </w:p>
        </w:tc>
        <w:tc>
          <w:tcPr>
            <w:tcW w:w="1080" w:type="dxa"/>
            <w:vAlign w:val="center"/>
          </w:tcPr>
          <w:p w14:paraId="1B2691B6" w14:textId="7D88FC4A" w:rsidR="003D7191" w:rsidRPr="00241ECE" w:rsidRDefault="001F3186" w:rsidP="004044C3">
            <w:pPr>
              <w:spacing w:after="0" w:line="240" w:lineRule="auto"/>
              <w:jc w:val="right"/>
              <w:rPr>
                <w:rFonts w:ascii="Times New Roman" w:eastAsia="Times New Roman" w:hAnsi="Times New Roman"/>
                <w:sz w:val="24"/>
                <w:szCs w:val="24"/>
                <w:highlight w:val="red"/>
              </w:rPr>
            </w:pPr>
            <w:r w:rsidRPr="00241ECE">
              <w:rPr>
                <w:rFonts w:ascii="Times New Roman" w:eastAsia="Times New Roman" w:hAnsi="Times New Roman"/>
                <w:sz w:val="24"/>
                <w:szCs w:val="24"/>
                <w:highlight w:val="red"/>
              </w:rPr>
              <w:t>$</w:t>
            </w:r>
            <w:r w:rsidR="00C51C13">
              <w:rPr>
                <w:rFonts w:ascii="Times New Roman" w:eastAsia="Times New Roman" w:hAnsi="Times New Roman"/>
                <w:sz w:val="24"/>
                <w:szCs w:val="24"/>
                <w:highlight w:val="red"/>
              </w:rPr>
              <w:t>2,162.9</w:t>
            </w:r>
          </w:p>
        </w:tc>
      </w:tr>
      <w:tr w:rsidR="007F3490" w:rsidRPr="00BE6C3D" w14:paraId="2F7CF9BA" w14:textId="31B0C29E" w:rsidTr="003C11FB">
        <w:trPr>
          <w:trHeight w:val="315"/>
        </w:trPr>
        <w:tc>
          <w:tcPr>
            <w:tcW w:w="1867" w:type="dxa"/>
            <w:shd w:val="clear" w:color="auto" w:fill="auto"/>
            <w:noWrap/>
            <w:vAlign w:val="bottom"/>
            <w:hideMark/>
          </w:tcPr>
          <w:p w14:paraId="03732E5B" w14:textId="77777777" w:rsidR="003D7191" w:rsidRPr="00BE6C3D" w:rsidRDefault="003D7191" w:rsidP="009E46A4">
            <w:pPr>
              <w:spacing w:after="0" w:line="240" w:lineRule="auto"/>
              <w:rPr>
                <w:rFonts w:ascii="Times New Roman" w:eastAsia="Times New Roman" w:hAnsi="Times New Roman"/>
                <w:color w:val="000000"/>
                <w:sz w:val="24"/>
                <w:szCs w:val="24"/>
              </w:rPr>
            </w:pPr>
            <w:r w:rsidRPr="00BE6C3D">
              <w:rPr>
                <w:rFonts w:ascii="Times New Roman" w:eastAsia="Times New Roman" w:hAnsi="Times New Roman"/>
                <w:color w:val="000000"/>
                <w:sz w:val="24"/>
                <w:szCs w:val="24"/>
              </w:rPr>
              <w:t>Fisheries</w:t>
            </w:r>
          </w:p>
        </w:tc>
        <w:tc>
          <w:tcPr>
            <w:tcW w:w="810" w:type="dxa"/>
            <w:shd w:val="clear" w:color="auto" w:fill="auto"/>
            <w:vAlign w:val="center"/>
          </w:tcPr>
          <w:p w14:paraId="74C611DA" w14:textId="77777777" w:rsidR="003D7191" w:rsidRPr="008646F0" w:rsidRDefault="003D7191" w:rsidP="009E46A4">
            <w:pPr>
              <w:spacing w:after="0" w:line="240" w:lineRule="auto"/>
              <w:jc w:val="right"/>
              <w:rPr>
                <w:rFonts w:ascii="Times New Roman" w:eastAsia="Times New Roman" w:hAnsi="Times New Roman"/>
                <w:sz w:val="24"/>
                <w:szCs w:val="24"/>
                <w:highlight w:val="red"/>
              </w:rPr>
            </w:pPr>
            <w:r w:rsidRPr="008646F0">
              <w:rPr>
                <w:rFonts w:ascii="Times New Roman" w:eastAsia="Times New Roman" w:hAnsi="Times New Roman"/>
                <w:sz w:val="24"/>
                <w:szCs w:val="24"/>
                <w:highlight w:val="red"/>
              </w:rPr>
              <w:t>0</w:t>
            </w:r>
          </w:p>
        </w:tc>
        <w:tc>
          <w:tcPr>
            <w:tcW w:w="1080" w:type="dxa"/>
            <w:shd w:val="clear" w:color="auto" w:fill="auto"/>
            <w:noWrap/>
            <w:vAlign w:val="center"/>
            <w:hideMark/>
          </w:tcPr>
          <w:p w14:paraId="6DA7CC42" w14:textId="41D9EA41" w:rsidR="003D7191" w:rsidRPr="008646F0" w:rsidRDefault="007631FB" w:rsidP="008B019D">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15.4</w:t>
            </w:r>
          </w:p>
        </w:tc>
        <w:tc>
          <w:tcPr>
            <w:tcW w:w="1080" w:type="dxa"/>
            <w:shd w:val="clear" w:color="auto" w:fill="auto"/>
            <w:noWrap/>
            <w:vAlign w:val="center"/>
            <w:hideMark/>
          </w:tcPr>
          <w:p w14:paraId="5953E7C0" w14:textId="06378DD4" w:rsidR="003D7191" w:rsidRPr="008646F0" w:rsidRDefault="007631FB" w:rsidP="009E46A4">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4.8</w:t>
            </w:r>
          </w:p>
        </w:tc>
        <w:tc>
          <w:tcPr>
            <w:tcW w:w="900" w:type="dxa"/>
            <w:shd w:val="clear" w:color="auto" w:fill="auto"/>
            <w:noWrap/>
            <w:vAlign w:val="center"/>
            <w:hideMark/>
          </w:tcPr>
          <w:p w14:paraId="02EEA09F" w14:textId="38C6FC25" w:rsidR="003D7191" w:rsidRPr="008646F0" w:rsidRDefault="007631FB">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20.2</w:t>
            </w:r>
          </w:p>
        </w:tc>
        <w:tc>
          <w:tcPr>
            <w:tcW w:w="900" w:type="dxa"/>
            <w:vAlign w:val="center"/>
          </w:tcPr>
          <w:p w14:paraId="1794AE82" w14:textId="1B4A9562" w:rsidR="003D7191" w:rsidRPr="00241ECE" w:rsidRDefault="00ED44B5" w:rsidP="009E46A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68.7</w:t>
            </w:r>
          </w:p>
        </w:tc>
        <w:tc>
          <w:tcPr>
            <w:tcW w:w="900" w:type="dxa"/>
            <w:vAlign w:val="center"/>
          </w:tcPr>
          <w:p w14:paraId="3DF7744A" w14:textId="318913CB" w:rsidR="003D7191" w:rsidRPr="00E77144" w:rsidRDefault="00ED44B5" w:rsidP="009E46A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58.8</w:t>
            </w:r>
          </w:p>
        </w:tc>
        <w:tc>
          <w:tcPr>
            <w:tcW w:w="900" w:type="dxa"/>
            <w:shd w:val="clear" w:color="auto" w:fill="auto"/>
            <w:vAlign w:val="center"/>
          </w:tcPr>
          <w:p w14:paraId="59351B2A" w14:textId="72C93307" w:rsidR="003D7191" w:rsidRPr="00E77144" w:rsidRDefault="00ED44B5" w:rsidP="009E46A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60.1</w:t>
            </w:r>
          </w:p>
        </w:tc>
        <w:tc>
          <w:tcPr>
            <w:tcW w:w="900" w:type="dxa"/>
            <w:shd w:val="clear" w:color="auto" w:fill="auto"/>
            <w:noWrap/>
            <w:vAlign w:val="center"/>
            <w:hideMark/>
          </w:tcPr>
          <w:p w14:paraId="656003C1" w14:textId="2BB77D0B" w:rsidR="003D7191" w:rsidRPr="00BE6C3D" w:rsidRDefault="00ED44B5" w:rsidP="009E46A4">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sz w:val="24"/>
                <w:szCs w:val="24"/>
              </w:rPr>
              <w:t>57.7</w:t>
            </w:r>
          </w:p>
        </w:tc>
        <w:tc>
          <w:tcPr>
            <w:tcW w:w="1080" w:type="dxa"/>
            <w:vAlign w:val="center"/>
          </w:tcPr>
          <w:p w14:paraId="6526F685" w14:textId="3D412D7A" w:rsidR="003D7191" w:rsidRPr="00241ECE" w:rsidRDefault="00C51C13" w:rsidP="007F3490">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265.5</w:t>
            </w:r>
          </w:p>
        </w:tc>
      </w:tr>
      <w:tr w:rsidR="007F3490" w:rsidRPr="00BE6C3D" w14:paraId="17272F2F" w14:textId="22CC4554" w:rsidTr="003C11FB">
        <w:trPr>
          <w:trHeight w:val="315"/>
        </w:trPr>
        <w:tc>
          <w:tcPr>
            <w:tcW w:w="1867" w:type="dxa"/>
            <w:shd w:val="clear" w:color="auto" w:fill="auto"/>
            <w:noWrap/>
            <w:vAlign w:val="bottom"/>
            <w:hideMark/>
          </w:tcPr>
          <w:p w14:paraId="67660256" w14:textId="77777777" w:rsidR="003D7191" w:rsidRPr="00BE6C3D" w:rsidRDefault="003D7191" w:rsidP="009E46A4">
            <w:pPr>
              <w:spacing w:after="0" w:line="240" w:lineRule="auto"/>
              <w:rPr>
                <w:rFonts w:ascii="Times New Roman" w:eastAsia="Times New Roman" w:hAnsi="Times New Roman"/>
                <w:color w:val="000000"/>
                <w:sz w:val="24"/>
                <w:szCs w:val="24"/>
              </w:rPr>
            </w:pPr>
            <w:r w:rsidRPr="00BE6C3D">
              <w:rPr>
                <w:rFonts w:ascii="Times New Roman" w:eastAsia="Times New Roman" w:hAnsi="Times New Roman"/>
                <w:color w:val="000000"/>
                <w:sz w:val="24"/>
                <w:szCs w:val="24"/>
              </w:rPr>
              <w:t>Weather Service</w:t>
            </w:r>
          </w:p>
        </w:tc>
        <w:tc>
          <w:tcPr>
            <w:tcW w:w="810" w:type="dxa"/>
            <w:shd w:val="clear" w:color="auto" w:fill="auto"/>
            <w:vAlign w:val="center"/>
          </w:tcPr>
          <w:p w14:paraId="4F748B89" w14:textId="77777777" w:rsidR="003D7191" w:rsidRPr="008646F0" w:rsidRDefault="003D7191" w:rsidP="009E46A4">
            <w:pPr>
              <w:spacing w:after="0" w:line="240" w:lineRule="auto"/>
              <w:jc w:val="right"/>
              <w:rPr>
                <w:rFonts w:ascii="Times New Roman" w:eastAsia="Times New Roman" w:hAnsi="Times New Roman"/>
                <w:sz w:val="24"/>
                <w:szCs w:val="24"/>
                <w:highlight w:val="red"/>
              </w:rPr>
            </w:pPr>
            <w:r w:rsidRPr="008646F0">
              <w:rPr>
                <w:rFonts w:ascii="Times New Roman" w:eastAsia="Times New Roman" w:hAnsi="Times New Roman"/>
                <w:sz w:val="24"/>
                <w:szCs w:val="24"/>
                <w:highlight w:val="red"/>
              </w:rPr>
              <w:t>0</w:t>
            </w:r>
          </w:p>
        </w:tc>
        <w:tc>
          <w:tcPr>
            <w:tcW w:w="1080" w:type="dxa"/>
            <w:shd w:val="clear" w:color="auto" w:fill="auto"/>
            <w:noWrap/>
            <w:vAlign w:val="center"/>
            <w:hideMark/>
          </w:tcPr>
          <w:p w14:paraId="4519EEFF" w14:textId="5391DF6D" w:rsidR="003D7191" w:rsidRPr="008646F0" w:rsidRDefault="00FA07D7" w:rsidP="009E46A4">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0.8</w:t>
            </w:r>
          </w:p>
        </w:tc>
        <w:tc>
          <w:tcPr>
            <w:tcW w:w="1080" w:type="dxa"/>
            <w:shd w:val="clear" w:color="auto" w:fill="auto"/>
            <w:noWrap/>
            <w:vAlign w:val="center"/>
            <w:hideMark/>
          </w:tcPr>
          <w:p w14:paraId="0EF27984" w14:textId="32D6C9EE" w:rsidR="003D7191" w:rsidRPr="008646F0" w:rsidRDefault="007631FB" w:rsidP="009E46A4">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5.6</w:t>
            </w:r>
          </w:p>
        </w:tc>
        <w:tc>
          <w:tcPr>
            <w:tcW w:w="900" w:type="dxa"/>
            <w:shd w:val="clear" w:color="auto" w:fill="auto"/>
            <w:noWrap/>
            <w:vAlign w:val="center"/>
            <w:hideMark/>
          </w:tcPr>
          <w:p w14:paraId="072C7E5F" w14:textId="67070B47" w:rsidR="003D7191" w:rsidRPr="008646F0" w:rsidRDefault="007631FB" w:rsidP="009E46A4">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6.4</w:t>
            </w:r>
          </w:p>
        </w:tc>
        <w:tc>
          <w:tcPr>
            <w:tcW w:w="900" w:type="dxa"/>
            <w:vAlign w:val="center"/>
          </w:tcPr>
          <w:p w14:paraId="50F8A594" w14:textId="14A6DDD4" w:rsidR="003D7191" w:rsidRPr="00241ECE" w:rsidRDefault="00ED44B5" w:rsidP="00ED44B5">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18.3</w:t>
            </w:r>
          </w:p>
        </w:tc>
        <w:tc>
          <w:tcPr>
            <w:tcW w:w="900" w:type="dxa"/>
            <w:vAlign w:val="center"/>
          </w:tcPr>
          <w:p w14:paraId="6DF4F8E7" w14:textId="6098D02D" w:rsidR="003D7191" w:rsidRPr="00E77144" w:rsidRDefault="00ED44B5" w:rsidP="009E46A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22.1</w:t>
            </w:r>
          </w:p>
        </w:tc>
        <w:tc>
          <w:tcPr>
            <w:tcW w:w="900" w:type="dxa"/>
            <w:shd w:val="clear" w:color="auto" w:fill="auto"/>
            <w:vAlign w:val="center"/>
          </w:tcPr>
          <w:p w14:paraId="69FDA376" w14:textId="61773718" w:rsidR="003D7191" w:rsidRPr="00E77144" w:rsidRDefault="00ED44B5" w:rsidP="009E46A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19.5</w:t>
            </w:r>
          </w:p>
        </w:tc>
        <w:tc>
          <w:tcPr>
            <w:tcW w:w="900" w:type="dxa"/>
            <w:shd w:val="clear" w:color="auto" w:fill="auto"/>
            <w:noWrap/>
            <w:vAlign w:val="center"/>
            <w:hideMark/>
          </w:tcPr>
          <w:p w14:paraId="4274D549" w14:textId="35899160" w:rsidR="003D7191" w:rsidRPr="00BE6C3D" w:rsidRDefault="00ED44B5" w:rsidP="009E46A4">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sz w:val="24"/>
                <w:szCs w:val="24"/>
              </w:rPr>
              <w:t>20.7</w:t>
            </w:r>
          </w:p>
        </w:tc>
        <w:tc>
          <w:tcPr>
            <w:tcW w:w="1080" w:type="dxa"/>
            <w:vAlign w:val="center"/>
          </w:tcPr>
          <w:p w14:paraId="118C6868" w14:textId="1A1B7AD3" w:rsidR="003D7191" w:rsidRPr="00241ECE" w:rsidRDefault="00C51C13" w:rsidP="004044C3">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87.0</w:t>
            </w:r>
          </w:p>
        </w:tc>
      </w:tr>
      <w:tr w:rsidR="007F3490" w:rsidRPr="00BE6C3D" w14:paraId="5BB722E2" w14:textId="528E1CCC" w:rsidTr="003C11FB">
        <w:trPr>
          <w:trHeight w:val="315"/>
        </w:trPr>
        <w:tc>
          <w:tcPr>
            <w:tcW w:w="1867" w:type="dxa"/>
            <w:shd w:val="clear" w:color="auto" w:fill="auto"/>
            <w:noWrap/>
            <w:vAlign w:val="bottom"/>
            <w:hideMark/>
          </w:tcPr>
          <w:p w14:paraId="5549D37F" w14:textId="77777777" w:rsidR="003D7191" w:rsidRPr="00BE6C3D" w:rsidRDefault="003D7191" w:rsidP="009E46A4">
            <w:pPr>
              <w:spacing w:after="0" w:line="240" w:lineRule="auto"/>
              <w:rPr>
                <w:rFonts w:ascii="Times New Roman" w:eastAsia="Times New Roman" w:hAnsi="Times New Roman"/>
                <w:color w:val="000000"/>
                <w:sz w:val="24"/>
                <w:szCs w:val="24"/>
              </w:rPr>
            </w:pPr>
            <w:r w:rsidRPr="00BE6C3D">
              <w:rPr>
                <w:rFonts w:ascii="Times New Roman" w:eastAsia="Times New Roman" w:hAnsi="Times New Roman"/>
                <w:color w:val="000000"/>
                <w:sz w:val="24"/>
                <w:szCs w:val="24"/>
              </w:rPr>
              <w:t>Other</w:t>
            </w:r>
          </w:p>
        </w:tc>
        <w:tc>
          <w:tcPr>
            <w:tcW w:w="810" w:type="dxa"/>
            <w:shd w:val="clear" w:color="auto" w:fill="auto"/>
            <w:vAlign w:val="center"/>
          </w:tcPr>
          <w:p w14:paraId="0C439C89" w14:textId="77777777" w:rsidR="003D7191" w:rsidRPr="008646F0" w:rsidRDefault="003D7191" w:rsidP="009E46A4">
            <w:pPr>
              <w:spacing w:after="0" w:line="240" w:lineRule="auto"/>
              <w:jc w:val="right"/>
              <w:rPr>
                <w:rFonts w:ascii="Times New Roman" w:eastAsia="Times New Roman" w:hAnsi="Times New Roman"/>
                <w:sz w:val="24"/>
                <w:szCs w:val="24"/>
                <w:highlight w:val="red"/>
              </w:rPr>
            </w:pPr>
            <w:r w:rsidRPr="008646F0">
              <w:rPr>
                <w:rFonts w:ascii="Times New Roman" w:eastAsia="Times New Roman" w:hAnsi="Times New Roman"/>
                <w:sz w:val="24"/>
                <w:szCs w:val="24"/>
                <w:highlight w:val="red"/>
              </w:rPr>
              <w:t>0</w:t>
            </w:r>
          </w:p>
        </w:tc>
        <w:tc>
          <w:tcPr>
            <w:tcW w:w="1080" w:type="dxa"/>
            <w:shd w:val="clear" w:color="auto" w:fill="auto"/>
            <w:noWrap/>
            <w:vAlign w:val="center"/>
            <w:hideMark/>
          </w:tcPr>
          <w:p w14:paraId="18D8EEBE" w14:textId="7F9764D9" w:rsidR="003D7191" w:rsidRPr="008646F0" w:rsidRDefault="007631FB" w:rsidP="009E46A4">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30.1</w:t>
            </w:r>
          </w:p>
        </w:tc>
        <w:tc>
          <w:tcPr>
            <w:tcW w:w="1080" w:type="dxa"/>
            <w:shd w:val="clear" w:color="auto" w:fill="auto"/>
            <w:noWrap/>
            <w:vAlign w:val="center"/>
            <w:hideMark/>
          </w:tcPr>
          <w:p w14:paraId="554BA0A0" w14:textId="72661EF7" w:rsidR="003D7191" w:rsidRPr="008646F0" w:rsidRDefault="007631FB" w:rsidP="008B019D">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6.5</w:t>
            </w:r>
          </w:p>
        </w:tc>
        <w:tc>
          <w:tcPr>
            <w:tcW w:w="900" w:type="dxa"/>
            <w:shd w:val="clear" w:color="auto" w:fill="auto"/>
            <w:noWrap/>
            <w:vAlign w:val="center"/>
            <w:hideMark/>
          </w:tcPr>
          <w:p w14:paraId="515DFD67" w14:textId="055E3714" w:rsidR="003D7191" w:rsidRPr="008646F0" w:rsidRDefault="00C51C13" w:rsidP="00ED44B5">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36.6</w:t>
            </w:r>
          </w:p>
        </w:tc>
        <w:tc>
          <w:tcPr>
            <w:tcW w:w="900" w:type="dxa"/>
            <w:vAlign w:val="center"/>
          </w:tcPr>
          <w:p w14:paraId="1DCF4C1C" w14:textId="3D74BD90" w:rsidR="003D7191" w:rsidRPr="00241ECE" w:rsidRDefault="00ED44B5" w:rsidP="009E46A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131.3</w:t>
            </w:r>
          </w:p>
        </w:tc>
        <w:tc>
          <w:tcPr>
            <w:tcW w:w="900" w:type="dxa"/>
            <w:vAlign w:val="center"/>
          </w:tcPr>
          <w:p w14:paraId="34A79308" w14:textId="4299053E" w:rsidR="003D7191" w:rsidRPr="00E77144" w:rsidRDefault="00ED44B5" w:rsidP="009E46A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131.9</w:t>
            </w:r>
          </w:p>
        </w:tc>
        <w:tc>
          <w:tcPr>
            <w:tcW w:w="900" w:type="dxa"/>
            <w:shd w:val="clear" w:color="auto" w:fill="auto"/>
            <w:vAlign w:val="center"/>
          </w:tcPr>
          <w:p w14:paraId="1BC070FA" w14:textId="036B03C1" w:rsidR="003D7191" w:rsidRPr="00E77144" w:rsidRDefault="00ED44B5" w:rsidP="009E46A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144.5</w:t>
            </w:r>
          </w:p>
        </w:tc>
        <w:tc>
          <w:tcPr>
            <w:tcW w:w="900" w:type="dxa"/>
            <w:shd w:val="clear" w:color="auto" w:fill="auto"/>
            <w:noWrap/>
            <w:vAlign w:val="center"/>
            <w:hideMark/>
          </w:tcPr>
          <w:p w14:paraId="40BADCD8" w14:textId="3B7BA9A1" w:rsidR="003D7191" w:rsidRPr="00BE6C3D" w:rsidRDefault="00ED44B5" w:rsidP="009E46A4">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sz w:val="24"/>
                <w:szCs w:val="24"/>
              </w:rPr>
              <w:t>68.1</w:t>
            </w:r>
          </w:p>
        </w:tc>
        <w:tc>
          <w:tcPr>
            <w:tcW w:w="1080" w:type="dxa"/>
            <w:vAlign w:val="center"/>
          </w:tcPr>
          <w:p w14:paraId="30F38EBC" w14:textId="26E8CF7F" w:rsidR="003D7191" w:rsidRPr="00241ECE" w:rsidRDefault="00C51C13" w:rsidP="004044C3">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512.4</w:t>
            </w:r>
          </w:p>
        </w:tc>
      </w:tr>
      <w:tr w:rsidR="007F3490" w:rsidRPr="00BE6C3D" w14:paraId="5DF21B05" w14:textId="0AB786DC" w:rsidTr="003C11FB">
        <w:trPr>
          <w:trHeight w:val="330"/>
        </w:trPr>
        <w:tc>
          <w:tcPr>
            <w:tcW w:w="1867" w:type="dxa"/>
            <w:shd w:val="clear" w:color="auto" w:fill="auto"/>
            <w:noWrap/>
            <w:vAlign w:val="bottom"/>
            <w:hideMark/>
          </w:tcPr>
          <w:p w14:paraId="1BC21ED5" w14:textId="77777777" w:rsidR="003D7191" w:rsidRPr="00BE6C3D" w:rsidRDefault="003D7191" w:rsidP="009E46A4">
            <w:pPr>
              <w:spacing w:after="0" w:line="240" w:lineRule="auto"/>
              <w:rPr>
                <w:rFonts w:ascii="Times New Roman" w:eastAsia="Times New Roman" w:hAnsi="Times New Roman"/>
                <w:b/>
                <w:bCs/>
                <w:sz w:val="24"/>
                <w:szCs w:val="24"/>
              </w:rPr>
            </w:pPr>
            <w:r w:rsidRPr="00BE6C3D">
              <w:rPr>
                <w:rFonts w:ascii="Times New Roman" w:eastAsia="Times New Roman" w:hAnsi="Times New Roman"/>
                <w:b/>
                <w:bCs/>
                <w:sz w:val="24"/>
                <w:szCs w:val="24"/>
              </w:rPr>
              <w:t xml:space="preserve">Totals </w:t>
            </w:r>
          </w:p>
        </w:tc>
        <w:tc>
          <w:tcPr>
            <w:tcW w:w="810" w:type="dxa"/>
            <w:shd w:val="clear" w:color="auto" w:fill="auto"/>
            <w:vAlign w:val="bottom"/>
          </w:tcPr>
          <w:p w14:paraId="012585FC" w14:textId="77777777" w:rsidR="003D7191" w:rsidRPr="008646F0" w:rsidRDefault="003D7191" w:rsidP="009E46A4">
            <w:pPr>
              <w:spacing w:after="0" w:line="240" w:lineRule="auto"/>
              <w:jc w:val="right"/>
              <w:rPr>
                <w:rFonts w:ascii="Times New Roman" w:eastAsia="Times New Roman" w:hAnsi="Times New Roman"/>
                <w:b/>
                <w:bCs/>
                <w:sz w:val="24"/>
                <w:szCs w:val="24"/>
                <w:highlight w:val="red"/>
              </w:rPr>
            </w:pPr>
            <w:r w:rsidRPr="008646F0">
              <w:rPr>
                <w:rFonts w:ascii="Times New Roman" w:eastAsia="Times New Roman" w:hAnsi="Times New Roman"/>
                <w:b/>
                <w:bCs/>
                <w:sz w:val="24"/>
                <w:szCs w:val="24"/>
                <w:highlight w:val="red"/>
              </w:rPr>
              <w:t>$0.0</w:t>
            </w:r>
          </w:p>
        </w:tc>
        <w:tc>
          <w:tcPr>
            <w:tcW w:w="1080" w:type="dxa"/>
            <w:shd w:val="clear" w:color="auto" w:fill="auto"/>
            <w:noWrap/>
            <w:vAlign w:val="bottom"/>
            <w:hideMark/>
          </w:tcPr>
          <w:p w14:paraId="1791B54B" w14:textId="1D73BA26" w:rsidR="003D7191" w:rsidRPr="008646F0" w:rsidRDefault="003D7191">
            <w:pPr>
              <w:spacing w:after="0" w:line="240" w:lineRule="auto"/>
              <w:jc w:val="right"/>
              <w:rPr>
                <w:rFonts w:ascii="Times New Roman" w:eastAsia="Times New Roman" w:hAnsi="Times New Roman"/>
                <w:b/>
                <w:bCs/>
                <w:sz w:val="24"/>
                <w:szCs w:val="24"/>
                <w:highlight w:val="red"/>
              </w:rPr>
            </w:pPr>
            <w:r w:rsidRPr="008646F0">
              <w:rPr>
                <w:rFonts w:ascii="Times New Roman" w:eastAsia="Times New Roman" w:hAnsi="Times New Roman"/>
                <w:b/>
                <w:bCs/>
                <w:sz w:val="24"/>
                <w:szCs w:val="24"/>
                <w:highlight w:val="red"/>
              </w:rPr>
              <w:t>$</w:t>
            </w:r>
            <w:r w:rsidR="007631FB">
              <w:rPr>
                <w:rFonts w:ascii="Times New Roman" w:eastAsia="Times New Roman" w:hAnsi="Times New Roman"/>
                <w:b/>
                <w:bCs/>
                <w:sz w:val="24"/>
                <w:szCs w:val="24"/>
                <w:highlight w:val="red"/>
              </w:rPr>
              <w:t>179.2</w:t>
            </w:r>
          </w:p>
        </w:tc>
        <w:tc>
          <w:tcPr>
            <w:tcW w:w="1080" w:type="dxa"/>
            <w:shd w:val="clear" w:color="auto" w:fill="auto"/>
            <w:noWrap/>
            <w:vAlign w:val="bottom"/>
            <w:hideMark/>
          </w:tcPr>
          <w:p w14:paraId="4BE4C02F" w14:textId="339122B6" w:rsidR="003D7191" w:rsidRPr="008646F0" w:rsidRDefault="003D7191">
            <w:pPr>
              <w:spacing w:after="0" w:line="240" w:lineRule="auto"/>
              <w:jc w:val="right"/>
              <w:rPr>
                <w:rFonts w:ascii="Times New Roman" w:eastAsia="Times New Roman" w:hAnsi="Times New Roman"/>
                <w:b/>
                <w:bCs/>
                <w:sz w:val="24"/>
                <w:szCs w:val="24"/>
                <w:highlight w:val="red"/>
              </w:rPr>
            </w:pPr>
            <w:r w:rsidRPr="008646F0">
              <w:rPr>
                <w:rFonts w:ascii="Times New Roman" w:eastAsia="Times New Roman" w:hAnsi="Times New Roman"/>
                <w:b/>
                <w:bCs/>
                <w:sz w:val="24"/>
                <w:szCs w:val="24"/>
                <w:highlight w:val="red"/>
              </w:rPr>
              <w:t>$</w:t>
            </w:r>
            <w:r w:rsidR="007631FB">
              <w:rPr>
                <w:rFonts w:ascii="Times New Roman" w:eastAsia="Times New Roman" w:hAnsi="Times New Roman"/>
                <w:b/>
                <w:bCs/>
                <w:sz w:val="24"/>
                <w:szCs w:val="24"/>
                <w:highlight w:val="red"/>
              </w:rPr>
              <w:t>38.1</w:t>
            </w:r>
          </w:p>
        </w:tc>
        <w:tc>
          <w:tcPr>
            <w:tcW w:w="900" w:type="dxa"/>
            <w:shd w:val="clear" w:color="auto" w:fill="auto"/>
            <w:noWrap/>
            <w:vAlign w:val="bottom"/>
            <w:hideMark/>
          </w:tcPr>
          <w:p w14:paraId="21ADAA6C" w14:textId="136F496A" w:rsidR="003D7191" w:rsidRPr="008646F0" w:rsidRDefault="003D7191">
            <w:pPr>
              <w:spacing w:after="0" w:line="240" w:lineRule="auto"/>
              <w:jc w:val="right"/>
              <w:rPr>
                <w:rFonts w:ascii="Times New Roman" w:eastAsia="Times New Roman" w:hAnsi="Times New Roman"/>
                <w:b/>
                <w:bCs/>
                <w:sz w:val="24"/>
                <w:szCs w:val="24"/>
                <w:highlight w:val="red"/>
              </w:rPr>
            </w:pPr>
            <w:r w:rsidRPr="008646F0">
              <w:rPr>
                <w:rFonts w:ascii="Times New Roman" w:eastAsia="Times New Roman" w:hAnsi="Times New Roman"/>
                <w:b/>
                <w:bCs/>
                <w:sz w:val="24"/>
                <w:szCs w:val="24"/>
                <w:highlight w:val="red"/>
              </w:rPr>
              <w:t>$</w:t>
            </w:r>
            <w:r w:rsidR="00C51C13">
              <w:rPr>
                <w:rFonts w:ascii="Times New Roman" w:eastAsia="Times New Roman" w:hAnsi="Times New Roman"/>
                <w:b/>
                <w:bCs/>
                <w:sz w:val="24"/>
                <w:szCs w:val="24"/>
                <w:highlight w:val="red"/>
              </w:rPr>
              <w:t>217.3</w:t>
            </w:r>
          </w:p>
        </w:tc>
        <w:tc>
          <w:tcPr>
            <w:tcW w:w="900" w:type="dxa"/>
            <w:vAlign w:val="bottom"/>
          </w:tcPr>
          <w:p w14:paraId="1E6FBD37" w14:textId="4D81AC22" w:rsidR="003D7191" w:rsidRPr="00241ECE" w:rsidRDefault="003D7191" w:rsidP="009E46A4">
            <w:pPr>
              <w:spacing w:after="0" w:line="240" w:lineRule="auto"/>
              <w:jc w:val="right"/>
              <w:rPr>
                <w:rFonts w:ascii="Times New Roman" w:eastAsia="Times New Roman" w:hAnsi="Times New Roman"/>
                <w:b/>
                <w:bCs/>
                <w:sz w:val="24"/>
                <w:szCs w:val="24"/>
              </w:rPr>
            </w:pPr>
            <w:r w:rsidRPr="00241ECE">
              <w:rPr>
                <w:rFonts w:ascii="Times New Roman" w:eastAsia="Times New Roman" w:hAnsi="Times New Roman"/>
                <w:b/>
                <w:bCs/>
                <w:sz w:val="24"/>
                <w:szCs w:val="24"/>
              </w:rPr>
              <w:t>$749.</w:t>
            </w:r>
            <w:r w:rsidR="00ED44B5">
              <w:rPr>
                <w:rFonts w:ascii="Times New Roman" w:eastAsia="Times New Roman" w:hAnsi="Times New Roman"/>
                <w:b/>
                <w:bCs/>
                <w:sz w:val="24"/>
                <w:szCs w:val="24"/>
              </w:rPr>
              <w:t>5</w:t>
            </w:r>
          </w:p>
        </w:tc>
        <w:tc>
          <w:tcPr>
            <w:tcW w:w="900" w:type="dxa"/>
            <w:vAlign w:val="bottom"/>
          </w:tcPr>
          <w:p w14:paraId="3FBAA180" w14:textId="02B57204" w:rsidR="003D7191" w:rsidRPr="00E77144" w:rsidRDefault="003D7191" w:rsidP="009E46A4">
            <w:pPr>
              <w:spacing w:after="0" w:line="240" w:lineRule="auto"/>
              <w:jc w:val="right"/>
              <w:rPr>
                <w:rFonts w:ascii="Times New Roman" w:eastAsia="Times New Roman" w:hAnsi="Times New Roman"/>
                <w:b/>
                <w:bCs/>
                <w:sz w:val="24"/>
                <w:szCs w:val="24"/>
              </w:rPr>
            </w:pPr>
            <w:r w:rsidRPr="00566217">
              <w:rPr>
                <w:rFonts w:ascii="Times New Roman" w:eastAsia="Times New Roman" w:hAnsi="Times New Roman"/>
                <w:b/>
                <w:bCs/>
                <w:sz w:val="24"/>
                <w:szCs w:val="24"/>
              </w:rPr>
              <w:t>$</w:t>
            </w:r>
            <w:r>
              <w:rPr>
                <w:rFonts w:ascii="Times New Roman" w:eastAsia="Times New Roman" w:hAnsi="Times New Roman"/>
                <w:b/>
                <w:bCs/>
                <w:sz w:val="24"/>
                <w:szCs w:val="24"/>
              </w:rPr>
              <w:t>7</w:t>
            </w:r>
            <w:r w:rsidR="00ED44B5">
              <w:rPr>
                <w:rFonts w:ascii="Times New Roman" w:eastAsia="Times New Roman" w:hAnsi="Times New Roman"/>
                <w:b/>
                <w:bCs/>
                <w:sz w:val="24"/>
                <w:szCs w:val="24"/>
              </w:rPr>
              <w:t>49.3</w:t>
            </w:r>
          </w:p>
        </w:tc>
        <w:tc>
          <w:tcPr>
            <w:tcW w:w="900" w:type="dxa"/>
            <w:shd w:val="clear" w:color="auto" w:fill="auto"/>
            <w:vAlign w:val="bottom"/>
          </w:tcPr>
          <w:p w14:paraId="75D28004" w14:textId="05E3B8E2" w:rsidR="003D7191" w:rsidRPr="00E77144" w:rsidRDefault="003D7191" w:rsidP="009E46A4">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w:t>
            </w:r>
            <w:r w:rsidR="00ED44B5">
              <w:rPr>
                <w:rFonts w:ascii="Times New Roman" w:eastAsia="Times New Roman" w:hAnsi="Times New Roman"/>
                <w:b/>
                <w:bCs/>
                <w:sz w:val="24"/>
                <w:szCs w:val="24"/>
              </w:rPr>
              <w:t>712.7</w:t>
            </w:r>
          </w:p>
        </w:tc>
        <w:tc>
          <w:tcPr>
            <w:tcW w:w="900" w:type="dxa"/>
            <w:shd w:val="clear" w:color="auto" w:fill="auto"/>
            <w:noWrap/>
            <w:vAlign w:val="bottom"/>
            <w:hideMark/>
          </w:tcPr>
          <w:p w14:paraId="27861576" w14:textId="0C3856C7" w:rsidR="003D7191" w:rsidRPr="00BE6C3D" w:rsidRDefault="003D7191" w:rsidP="009E46A4">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$5</w:t>
            </w:r>
            <w:r w:rsidR="00ED44B5">
              <w:rPr>
                <w:rFonts w:ascii="Times New Roman" w:eastAsia="Times New Roman" w:hAnsi="Times New Roman"/>
                <w:b/>
                <w:bCs/>
                <w:sz w:val="24"/>
                <w:szCs w:val="24"/>
              </w:rPr>
              <w:t>99.0</w:t>
            </w:r>
            <w:r w:rsidRPr="00E77144">
              <w:rPr>
                <w:rFonts w:ascii="Times New Roman" w:eastAsia="Times New Roman" w:hAnsi="Times New Roman"/>
                <w:b/>
                <w:bCs/>
                <w:sz w:val="24"/>
                <w:szCs w:val="24"/>
              </w:rPr>
              <w:t xml:space="preserve"> </w:t>
            </w:r>
          </w:p>
        </w:tc>
        <w:tc>
          <w:tcPr>
            <w:tcW w:w="1080" w:type="dxa"/>
            <w:vAlign w:val="center"/>
          </w:tcPr>
          <w:p w14:paraId="3DBD611E" w14:textId="30D7123E" w:rsidR="003D7191" w:rsidRPr="00241ECE" w:rsidRDefault="00C51C13" w:rsidP="004044C3">
            <w:pPr>
              <w:spacing w:after="0" w:line="240" w:lineRule="auto"/>
              <w:jc w:val="right"/>
              <w:rPr>
                <w:rFonts w:ascii="Times New Roman" w:eastAsia="Times New Roman" w:hAnsi="Times New Roman"/>
                <w:b/>
                <w:bCs/>
                <w:sz w:val="24"/>
                <w:szCs w:val="24"/>
                <w:highlight w:val="red"/>
              </w:rPr>
            </w:pPr>
            <w:r>
              <w:rPr>
                <w:rFonts w:ascii="Times New Roman" w:eastAsia="Times New Roman" w:hAnsi="Times New Roman"/>
                <w:b/>
                <w:bCs/>
                <w:sz w:val="24"/>
                <w:szCs w:val="24"/>
                <w:highlight w:val="red"/>
              </w:rPr>
              <w:t>3,027.8</w:t>
            </w:r>
          </w:p>
        </w:tc>
      </w:tr>
    </w:tbl>
    <w:p w14:paraId="55F7750F" w14:textId="77777777" w:rsidR="00DC06F8" w:rsidRDefault="00DC06F8" w:rsidP="003724B6">
      <w:pPr>
        <w:autoSpaceDE w:val="0"/>
        <w:autoSpaceDN w:val="0"/>
        <w:adjustRightInd w:val="0"/>
        <w:spacing w:after="0" w:line="240" w:lineRule="auto"/>
        <w:contextualSpacing/>
        <w:rPr>
          <w:rFonts w:ascii="Times New Roman" w:hAnsi="Times New Roman"/>
          <w:color w:val="221E1F"/>
          <w:sz w:val="24"/>
          <w:szCs w:val="24"/>
        </w:rPr>
      </w:pPr>
    </w:p>
    <w:p w14:paraId="25B6D314" w14:textId="2AD704CA" w:rsidR="00BC18AA" w:rsidRPr="00494932" w:rsidRDefault="00BC18AA" w:rsidP="00BC18AA">
      <w:pPr>
        <w:autoSpaceDE w:val="0"/>
        <w:autoSpaceDN w:val="0"/>
        <w:adjustRightInd w:val="0"/>
        <w:spacing w:after="0" w:line="240" w:lineRule="auto"/>
        <w:contextualSpacing/>
        <w:rPr>
          <w:rFonts w:ascii="Times New Roman" w:hAnsi="Times New Roman"/>
          <w:bCs/>
          <w:i/>
          <w:sz w:val="24"/>
          <w:szCs w:val="24"/>
        </w:rPr>
      </w:pPr>
      <w:r>
        <w:rPr>
          <w:rFonts w:ascii="Times New Roman" w:hAnsi="Times New Roman"/>
          <w:bCs/>
          <w:i/>
          <w:sz w:val="24"/>
          <w:szCs w:val="24"/>
          <w:highlight w:val="yellow"/>
        </w:rPr>
        <w:t>Please explain any significant increase or decrease in R&amp;D investm</w:t>
      </w:r>
      <w:r w:rsidR="00685949">
        <w:rPr>
          <w:rFonts w:ascii="Times New Roman" w:hAnsi="Times New Roman"/>
          <w:bCs/>
          <w:i/>
          <w:sz w:val="24"/>
          <w:szCs w:val="24"/>
          <w:highlight w:val="yellow"/>
        </w:rPr>
        <w:t>ents between FY 2020 and FY 2021</w:t>
      </w:r>
      <w:r>
        <w:rPr>
          <w:rFonts w:ascii="Times New Roman" w:hAnsi="Times New Roman"/>
          <w:bCs/>
          <w:i/>
          <w:sz w:val="24"/>
          <w:szCs w:val="24"/>
          <w:highlight w:val="yellow"/>
        </w:rPr>
        <w:t xml:space="preserve">. </w:t>
      </w:r>
      <w:bookmarkStart w:id="0" w:name="_GoBack"/>
      <w:bookmarkEnd w:id="0"/>
    </w:p>
    <w:p w14:paraId="597F37AF" w14:textId="77777777" w:rsidR="00BC18AA" w:rsidRDefault="00BC18AA" w:rsidP="003724B6">
      <w:pPr>
        <w:autoSpaceDE w:val="0"/>
        <w:autoSpaceDN w:val="0"/>
        <w:adjustRightInd w:val="0"/>
        <w:spacing w:after="0" w:line="240" w:lineRule="auto"/>
        <w:contextualSpacing/>
        <w:rPr>
          <w:rFonts w:ascii="Times New Roman" w:hAnsi="Times New Roman"/>
          <w:color w:val="221E1F"/>
          <w:sz w:val="24"/>
          <w:szCs w:val="24"/>
        </w:rPr>
      </w:pPr>
    </w:p>
    <w:p w14:paraId="415E9CE0" w14:textId="77777777" w:rsidR="003724B6" w:rsidRPr="00BE6C3D" w:rsidRDefault="003724B6" w:rsidP="003724B6">
      <w:pPr>
        <w:autoSpaceDE w:val="0"/>
        <w:autoSpaceDN w:val="0"/>
        <w:adjustRightInd w:val="0"/>
        <w:spacing w:after="0" w:line="240" w:lineRule="auto"/>
        <w:contextualSpacing/>
        <w:rPr>
          <w:rFonts w:ascii="Times New Roman" w:hAnsi="Times New Roman"/>
          <w:b/>
          <w:bCs/>
          <w:color w:val="000000"/>
          <w:sz w:val="24"/>
          <w:szCs w:val="24"/>
        </w:rPr>
      </w:pPr>
      <w:r w:rsidRPr="00BE6C3D">
        <w:rPr>
          <w:rFonts w:ascii="Times New Roman" w:hAnsi="Times New Roman"/>
          <w:color w:val="221E1F"/>
          <w:sz w:val="24"/>
          <w:szCs w:val="24"/>
        </w:rPr>
        <w:t>Here is a brief description of the major R&amp;D programs of NOAA:</w:t>
      </w:r>
    </w:p>
    <w:p w14:paraId="65B50FDE" w14:textId="77777777" w:rsidR="003724B6" w:rsidRPr="00BE6C3D" w:rsidRDefault="003724B6" w:rsidP="003724B6">
      <w:pPr>
        <w:autoSpaceDE w:val="0"/>
        <w:autoSpaceDN w:val="0"/>
        <w:adjustRightInd w:val="0"/>
        <w:spacing w:after="0" w:line="240" w:lineRule="auto"/>
        <w:rPr>
          <w:rFonts w:ascii="Times New Roman" w:hAnsi="Times New Roman"/>
          <w:b/>
          <w:color w:val="221E1F"/>
          <w:sz w:val="24"/>
          <w:szCs w:val="24"/>
        </w:rPr>
      </w:pPr>
    </w:p>
    <w:p w14:paraId="6E2EB753" w14:textId="2688FEEC" w:rsidR="005D1E7E" w:rsidRPr="00BE6C3D" w:rsidRDefault="005D1E7E" w:rsidP="005D1E7E">
      <w:pPr>
        <w:autoSpaceDE w:val="0"/>
        <w:autoSpaceDN w:val="0"/>
        <w:adjustRightInd w:val="0"/>
        <w:spacing w:line="240" w:lineRule="auto"/>
        <w:ind w:left="360"/>
        <w:rPr>
          <w:rFonts w:ascii="Times New Roman" w:hAnsi="Times New Roman"/>
          <w:color w:val="221E1F"/>
          <w:sz w:val="24"/>
          <w:szCs w:val="24"/>
        </w:rPr>
      </w:pPr>
      <w:r w:rsidRPr="00BE6C3D">
        <w:rPr>
          <w:rFonts w:ascii="Times New Roman" w:hAnsi="Times New Roman"/>
          <w:b/>
          <w:color w:val="221E1F"/>
          <w:sz w:val="24"/>
          <w:szCs w:val="24"/>
        </w:rPr>
        <w:t>Environmental and Climate:</w:t>
      </w:r>
      <w:r w:rsidRPr="00BE6C3D">
        <w:rPr>
          <w:rFonts w:ascii="Times New Roman" w:hAnsi="Times New Roman"/>
          <w:color w:val="221E1F"/>
          <w:sz w:val="24"/>
          <w:szCs w:val="24"/>
        </w:rPr>
        <w:t xml:space="preserve"> The Office of Oceanic and Atmospheric Research</w:t>
      </w:r>
      <w:r w:rsidR="0076149B">
        <w:rPr>
          <w:rFonts w:ascii="Times New Roman" w:hAnsi="Times New Roman"/>
          <w:color w:val="221E1F"/>
          <w:sz w:val="24"/>
          <w:szCs w:val="24"/>
        </w:rPr>
        <w:t>’s</w:t>
      </w:r>
      <w:r>
        <w:rPr>
          <w:rFonts w:ascii="Times New Roman" w:hAnsi="Times New Roman"/>
          <w:color w:val="221E1F"/>
          <w:sz w:val="24"/>
          <w:szCs w:val="24"/>
        </w:rPr>
        <w:t xml:space="preserve"> (OAR</w:t>
      </w:r>
      <w:r w:rsidR="001F3186">
        <w:rPr>
          <w:rFonts w:ascii="Times New Roman" w:hAnsi="Times New Roman"/>
          <w:color w:val="221E1F"/>
          <w:sz w:val="24"/>
          <w:szCs w:val="24"/>
        </w:rPr>
        <w:t>)</w:t>
      </w:r>
      <w:r w:rsidRPr="00BE6C3D">
        <w:rPr>
          <w:rFonts w:ascii="Times New Roman" w:hAnsi="Times New Roman"/>
          <w:color w:val="221E1F"/>
          <w:sz w:val="24"/>
          <w:szCs w:val="24"/>
        </w:rPr>
        <w:t xml:space="preserve"> </w:t>
      </w:r>
      <w:r w:rsidR="00B82423">
        <w:rPr>
          <w:rFonts w:ascii="Times New Roman" w:hAnsi="Times New Roman"/>
          <w:color w:val="221E1F"/>
          <w:sz w:val="24"/>
          <w:szCs w:val="24"/>
        </w:rPr>
        <w:t xml:space="preserve">is NOAA’s primary R&amp;D office.  This office conducts research in three major areas: climate research, weather and air quality research; and ocean, coastal, and Great Lakes research.  NOAA’s research </w:t>
      </w:r>
      <w:r w:rsidRPr="00BE6C3D">
        <w:rPr>
          <w:rFonts w:ascii="Times New Roman" w:hAnsi="Times New Roman"/>
          <w:color w:val="221E1F"/>
          <w:sz w:val="24"/>
          <w:szCs w:val="24"/>
        </w:rPr>
        <w:t>laboratories, Climate Program Office, and research partners conduct wide-ranging research into complex climate systems</w:t>
      </w:r>
      <w:r w:rsidR="0076149B">
        <w:rPr>
          <w:rFonts w:ascii="Times New Roman" w:hAnsi="Times New Roman"/>
          <w:color w:val="221E1F"/>
          <w:sz w:val="24"/>
          <w:szCs w:val="24"/>
        </w:rPr>
        <w:t>,</w:t>
      </w:r>
      <w:r w:rsidRPr="00BE6C3D">
        <w:rPr>
          <w:rFonts w:ascii="Times New Roman" w:hAnsi="Times New Roman"/>
          <w:color w:val="221E1F"/>
          <w:sz w:val="24"/>
          <w:szCs w:val="24"/>
        </w:rPr>
        <w:t xml:space="preserve"> the exploration and investigation of ocean habitats and resources</w:t>
      </w:r>
      <w:r w:rsidR="0076149B">
        <w:rPr>
          <w:rFonts w:ascii="Times New Roman" w:hAnsi="Times New Roman"/>
          <w:color w:val="221E1F"/>
          <w:sz w:val="24"/>
          <w:szCs w:val="24"/>
        </w:rPr>
        <w:t xml:space="preserve">, </w:t>
      </w:r>
      <w:r w:rsidR="00B82423">
        <w:rPr>
          <w:rFonts w:ascii="Times New Roman" w:hAnsi="Times New Roman"/>
          <w:color w:val="221E1F"/>
          <w:sz w:val="24"/>
          <w:szCs w:val="24"/>
        </w:rPr>
        <w:t xml:space="preserve">and </w:t>
      </w:r>
      <w:r w:rsidRPr="00BE6C3D">
        <w:rPr>
          <w:rFonts w:ascii="Times New Roman" w:hAnsi="Times New Roman"/>
          <w:color w:val="221E1F"/>
          <w:sz w:val="24"/>
          <w:szCs w:val="24"/>
        </w:rPr>
        <w:t>predict</w:t>
      </w:r>
      <w:r w:rsidR="0076149B">
        <w:rPr>
          <w:rFonts w:ascii="Times New Roman" w:hAnsi="Times New Roman"/>
          <w:color w:val="221E1F"/>
          <w:sz w:val="24"/>
          <w:szCs w:val="24"/>
        </w:rPr>
        <w:t>ing</w:t>
      </w:r>
      <w:r w:rsidRPr="00BE6C3D">
        <w:rPr>
          <w:rFonts w:ascii="Times New Roman" w:hAnsi="Times New Roman"/>
          <w:color w:val="221E1F"/>
          <w:sz w:val="24"/>
          <w:szCs w:val="24"/>
        </w:rPr>
        <w:t xml:space="preserve"> severe weather events and hazardous conditions that threaten life, property, and economi</w:t>
      </w:r>
      <w:r w:rsidR="0076149B">
        <w:rPr>
          <w:rFonts w:ascii="Times New Roman" w:hAnsi="Times New Roman"/>
          <w:color w:val="221E1F"/>
          <w:sz w:val="24"/>
          <w:szCs w:val="24"/>
        </w:rPr>
        <w:t>c</w:t>
      </w:r>
      <w:r w:rsidRPr="00BE6C3D">
        <w:rPr>
          <w:rFonts w:ascii="Times New Roman" w:hAnsi="Times New Roman"/>
          <w:color w:val="221E1F"/>
          <w:sz w:val="24"/>
          <w:szCs w:val="24"/>
        </w:rPr>
        <w:t xml:space="preserve"> well-being. </w:t>
      </w:r>
      <w:r w:rsidR="0076149B">
        <w:rPr>
          <w:rFonts w:ascii="Times New Roman" w:hAnsi="Times New Roman"/>
          <w:color w:val="221E1F"/>
          <w:sz w:val="24"/>
          <w:szCs w:val="24"/>
        </w:rPr>
        <w:t xml:space="preserve"> </w:t>
      </w:r>
    </w:p>
    <w:p w14:paraId="113BD8C7" w14:textId="32C53719" w:rsidR="005D1E7E" w:rsidRDefault="005D1E7E" w:rsidP="005D1E7E">
      <w:pPr>
        <w:autoSpaceDE w:val="0"/>
        <w:autoSpaceDN w:val="0"/>
        <w:adjustRightInd w:val="0"/>
        <w:spacing w:after="0" w:line="240" w:lineRule="auto"/>
        <w:ind w:left="360"/>
        <w:rPr>
          <w:rFonts w:ascii="Times New Roman" w:hAnsi="Times New Roman"/>
          <w:color w:val="221E1F"/>
          <w:sz w:val="24"/>
          <w:szCs w:val="24"/>
        </w:rPr>
      </w:pPr>
      <w:r w:rsidRPr="00BE6C3D">
        <w:rPr>
          <w:rFonts w:ascii="Times New Roman" w:hAnsi="Times New Roman"/>
          <w:b/>
          <w:color w:val="221E1F"/>
          <w:sz w:val="24"/>
          <w:szCs w:val="24"/>
        </w:rPr>
        <w:t>Fisheries:</w:t>
      </w:r>
      <w:r w:rsidRPr="00BE6C3D">
        <w:rPr>
          <w:rFonts w:ascii="Times New Roman" w:hAnsi="Times New Roman"/>
          <w:color w:val="221E1F"/>
          <w:sz w:val="24"/>
          <w:szCs w:val="24"/>
        </w:rPr>
        <w:t xml:space="preserve"> NOAA’s N</w:t>
      </w:r>
      <w:r>
        <w:rPr>
          <w:rFonts w:ascii="Times New Roman" w:hAnsi="Times New Roman"/>
          <w:color w:val="221E1F"/>
          <w:sz w:val="24"/>
          <w:szCs w:val="24"/>
        </w:rPr>
        <w:t>ational Marine Fisheries Service</w:t>
      </w:r>
      <w:r w:rsidR="00B82423">
        <w:rPr>
          <w:rFonts w:ascii="Times New Roman" w:hAnsi="Times New Roman"/>
          <w:color w:val="221E1F"/>
          <w:sz w:val="24"/>
          <w:szCs w:val="24"/>
        </w:rPr>
        <w:t xml:space="preserve"> (NMFS)</w:t>
      </w:r>
      <w:r w:rsidRPr="00BE6C3D">
        <w:rPr>
          <w:rFonts w:ascii="Times New Roman" w:hAnsi="Times New Roman"/>
          <w:color w:val="221E1F"/>
          <w:sz w:val="24"/>
          <w:szCs w:val="24"/>
        </w:rPr>
        <w:t xml:space="preserve"> </w:t>
      </w:r>
      <w:r w:rsidRPr="00E1695A">
        <w:rPr>
          <w:rFonts w:ascii="Times New Roman" w:hAnsi="Times New Roman"/>
          <w:color w:val="221E1F"/>
          <w:sz w:val="24"/>
          <w:szCs w:val="24"/>
        </w:rPr>
        <w:t>supports sustainable fisheries and protected resources management</w:t>
      </w:r>
      <w:r w:rsidR="00B82423">
        <w:rPr>
          <w:rFonts w:ascii="Times New Roman" w:hAnsi="Times New Roman"/>
          <w:color w:val="221E1F"/>
          <w:sz w:val="24"/>
          <w:szCs w:val="24"/>
        </w:rPr>
        <w:t xml:space="preserve"> included in the areas of </w:t>
      </w:r>
      <w:r w:rsidRPr="00E1695A">
        <w:rPr>
          <w:rFonts w:ascii="Times New Roman" w:hAnsi="Times New Roman"/>
          <w:color w:val="221E1F"/>
          <w:sz w:val="24"/>
          <w:szCs w:val="24"/>
        </w:rPr>
        <w:t>improving aquaculture</w:t>
      </w:r>
      <w:r w:rsidR="001F5DDD" w:rsidRPr="00E1695A">
        <w:rPr>
          <w:rFonts w:ascii="Times New Roman" w:hAnsi="Times New Roman"/>
          <w:color w:val="221E1F"/>
          <w:sz w:val="24"/>
          <w:szCs w:val="24"/>
        </w:rPr>
        <w:t xml:space="preserve">, </w:t>
      </w:r>
      <w:r w:rsidR="001F5DDD">
        <w:rPr>
          <w:rFonts w:ascii="Times New Roman" w:hAnsi="Times New Roman"/>
          <w:color w:val="221E1F"/>
          <w:sz w:val="24"/>
          <w:szCs w:val="24"/>
        </w:rPr>
        <w:t>improving</w:t>
      </w:r>
      <w:r w:rsidR="00A755B0">
        <w:rPr>
          <w:rFonts w:ascii="Times New Roman" w:hAnsi="Times New Roman"/>
          <w:color w:val="221E1F"/>
          <w:sz w:val="24"/>
          <w:szCs w:val="24"/>
        </w:rPr>
        <w:t xml:space="preserve"> </w:t>
      </w:r>
      <w:r w:rsidRPr="00E1695A">
        <w:rPr>
          <w:rFonts w:ascii="Times New Roman" w:hAnsi="Times New Roman"/>
          <w:color w:val="221E1F"/>
          <w:sz w:val="24"/>
          <w:szCs w:val="24"/>
        </w:rPr>
        <w:t xml:space="preserve">fishery data collection and assessment, protected species science, techniques for reducing bycatch and other adverse impacts, adapting to climate change and other long term ecosystem change, and socio-economic research. </w:t>
      </w:r>
      <w:r w:rsidR="00B82423">
        <w:rPr>
          <w:rFonts w:ascii="Times New Roman" w:hAnsi="Times New Roman"/>
          <w:color w:val="221E1F"/>
          <w:sz w:val="24"/>
          <w:szCs w:val="24"/>
        </w:rPr>
        <w:t>Other examples of R&amp;D are process-oriented studies to understand mechanisms that control reproductive success, population genetics and stock structure, animal behavior, biophysical modeling, and the functional value of habitat.</w:t>
      </w:r>
    </w:p>
    <w:p w14:paraId="7891A3FB" w14:textId="76CD0095" w:rsidR="005D1E7E" w:rsidRPr="00BE6C3D" w:rsidRDefault="005D1E7E" w:rsidP="00E677DC">
      <w:pPr>
        <w:autoSpaceDE w:val="0"/>
        <w:autoSpaceDN w:val="0"/>
        <w:adjustRightInd w:val="0"/>
        <w:spacing w:after="0" w:line="240" w:lineRule="auto"/>
        <w:rPr>
          <w:rFonts w:ascii="Times New Roman" w:hAnsi="Times New Roman"/>
          <w:color w:val="221E1F"/>
          <w:sz w:val="24"/>
          <w:szCs w:val="24"/>
        </w:rPr>
      </w:pPr>
    </w:p>
    <w:p w14:paraId="064CBDB0" w14:textId="728E3E89" w:rsidR="005D1E7E" w:rsidRDefault="005D1E7E" w:rsidP="005D1E7E">
      <w:pPr>
        <w:autoSpaceDE w:val="0"/>
        <w:autoSpaceDN w:val="0"/>
        <w:adjustRightInd w:val="0"/>
        <w:spacing w:after="0" w:line="240" w:lineRule="auto"/>
        <w:ind w:left="360"/>
        <w:rPr>
          <w:rFonts w:ascii="Times New Roman" w:hAnsi="Times New Roman"/>
          <w:color w:val="221E1F"/>
          <w:sz w:val="24"/>
          <w:szCs w:val="24"/>
        </w:rPr>
      </w:pPr>
      <w:r w:rsidRPr="00BE6C3D">
        <w:rPr>
          <w:rFonts w:ascii="Times New Roman" w:hAnsi="Times New Roman"/>
          <w:b/>
          <w:bCs/>
          <w:color w:val="221E1F"/>
          <w:sz w:val="24"/>
          <w:szCs w:val="24"/>
        </w:rPr>
        <w:t xml:space="preserve">Weather Service: </w:t>
      </w:r>
      <w:r>
        <w:rPr>
          <w:rFonts w:ascii="Times New Roman" w:hAnsi="Times New Roman"/>
          <w:bCs/>
          <w:color w:val="221E1F"/>
          <w:sz w:val="24"/>
          <w:szCs w:val="24"/>
        </w:rPr>
        <w:t xml:space="preserve">The National Weather Service </w:t>
      </w:r>
      <w:r w:rsidR="00B82423">
        <w:rPr>
          <w:rFonts w:ascii="Times New Roman" w:hAnsi="Times New Roman"/>
          <w:bCs/>
          <w:color w:val="221E1F"/>
          <w:sz w:val="24"/>
          <w:szCs w:val="24"/>
        </w:rPr>
        <w:t xml:space="preserve">(NWS) </w:t>
      </w:r>
      <w:r>
        <w:rPr>
          <w:rFonts w:ascii="Times New Roman" w:hAnsi="Times New Roman"/>
          <w:bCs/>
          <w:color w:val="221E1F"/>
          <w:sz w:val="24"/>
          <w:szCs w:val="24"/>
        </w:rPr>
        <w:t xml:space="preserve">conducts applied research and development to </w:t>
      </w:r>
      <w:r>
        <w:rPr>
          <w:rFonts w:ascii="Times New Roman" w:hAnsi="Times New Roman"/>
          <w:color w:val="221E1F"/>
          <w:sz w:val="24"/>
          <w:szCs w:val="24"/>
        </w:rPr>
        <w:t>support</w:t>
      </w:r>
      <w:r w:rsidRPr="00921118">
        <w:rPr>
          <w:rFonts w:ascii="Times New Roman" w:hAnsi="Times New Roman"/>
          <w:color w:val="221E1F"/>
          <w:sz w:val="24"/>
          <w:szCs w:val="24"/>
        </w:rPr>
        <w:t xml:space="preserve"> integrated water prediction</w:t>
      </w:r>
      <w:r w:rsidR="00B82423">
        <w:rPr>
          <w:rFonts w:ascii="Times New Roman" w:hAnsi="Times New Roman"/>
          <w:color w:val="221E1F"/>
          <w:sz w:val="24"/>
          <w:szCs w:val="24"/>
        </w:rPr>
        <w:t xml:space="preserve">. A primary goal is to expand and accelerate critical weather forecasting research to operation </w:t>
      </w:r>
      <w:r w:rsidR="00446B21">
        <w:rPr>
          <w:rFonts w:ascii="Times New Roman" w:hAnsi="Times New Roman"/>
          <w:color w:val="221E1F"/>
          <w:sz w:val="24"/>
          <w:szCs w:val="24"/>
        </w:rPr>
        <w:t>through</w:t>
      </w:r>
      <w:r w:rsidR="00B82423">
        <w:rPr>
          <w:rFonts w:ascii="Times New Roman" w:hAnsi="Times New Roman"/>
          <w:color w:val="221E1F"/>
          <w:sz w:val="24"/>
          <w:szCs w:val="24"/>
        </w:rPr>
        <w:t xml:space="preserve"> accelerated development </w:t>
      </w:r>
      <w:r w:rsidR="00B82423">
        <w:rPr>
          <w:rFonts w:ascii="Times New Roman" w:hAnsi="Times New Roman"/>
          <w:color w:val="221E1F"/>
          <w:sz w:val="24"/>
          <w:szCs w:val="24"/>
        </w:rPr>
        <w:lastRenderedPageBreak/>
        <w:t xml:space="preserve">and implementation of </w:t>
      </w:r>
      <w:r w:rsidRPr="00921118">
        <w:rPr>
          <w:rFonts w:ascii="Times New Roman" w:hAnsi="Times New Roman"/>
          <w:color w:val="221E1F"/>
          <w:sz w:val="24"/>
          <w:szCs w:val="24"/>
        </w:rPr>
        <w:t xml:space="preserve">current global weather prediction models, improved data assimilation techniques, and improved software architecture and system engineering. </w:t>
      </w:r>
    </w:p>
    <w:p w14:paraId="6695C386" w14:textId="1255AF4B" w:rsidR="00446B21" w:rsidRPr="00B24FE0" w:rsidRDefault="005D1E7E" w:rsidP="00446B21">
      <w:pPr>
        <w:spacing w:before="100" w:beforeAutospacing="1" w:after="100" w:afterAutospacing="1" w:line="240" w:lineRule="auto"/>
        <w:ind w:left="360"/>
        <w:outlineLvl w:val="0"/>
        <w:rPr>
          <w:rFonts w:ascii="Times New Roman" w:hAnsi="Times New Roman"/>
          <w:color w:val="221E1F"/>
          <w:sz w:val="24"/>
          <w:szCs w:val="24"/>
        </w:rPr>
      </w:pPr>
      <w:r w:rsidRPr="00BE6C3D">
        <w:rPr>
          <w:rFonts w:ascii="Times New Roman" w:hAnsi="Times New Roman"/>
          <w:b/>
          <w:bCs/>
          <w:color w:val="221E1F"/>
          <w:sz w:val="24"/>
          <w:szCs w:val="24"/>
        </w:rPr>
        <w:t xml:space="preserve">Other Programs: </w:t>
      </w:r>
      <w:r w:rsidRPr="00BE6C3D">
        <w:rPr>
          <w:rFonts w:ascii="Times New Roman" w:hAnsi="Times New Roman"/>
          <w:color w:val="221E1F"/>
          <w:sz w:val="24"/>
          <w:szCs w:val="24"/>
        </w:rPr>
        <w:t xml:space="preserve">As a national lead for coastal stewardship, NOAA’s National Ocean Service </w:t>
      </w:r>
      <w:r w:rsidR="00446B21">
        <w:rPr>
          <w:rFonts w:ascii="Times New Roman" w:hAnsi="Times New Roman"/>
          <w:color w:val="221E1F"/>
          <w:sz w:val="24"/>
          <w:szCs w:val="24"/>
        </w:rPr>
        <w:t xml:space="preserve">(NOS) </w:t>
      </w:r>
      <w:r w:rsidRPr="00E1695A">
        <w:rPr>
          <w:rFonts w:ascii="Times New Roman" w:hAnsi="Times New Roman"/>
          <w:color w:val="221E1F"/>
          <w:sz w:val="24"/>
          <w:szCs w:val="24"/>
        </w:rPr>
        <w:t>supports research and development on the cartographic, hydrographic and oceanographic sciences that underpin mapping, observing, and modeling efforts</w:t>
      </w:r>
      <w:r w:rsidR="00446B21">
        <w:rPr>
          <w:rFonts w:ascii="Times New Roman" w:hAnsi="Times New Roman"/>
          <w:color w:val="221E1F"/>
          <w:sz w:val="24"/>
          <w:szCs w:val="24"/>
        </w:rPr>
        <w:t>.</w:t>
      </w:r>
      <w:r w:rsidR="00555C36">
        <w:rPr>
          <w:rFonts w:ascii="Times New Roman" w:hAnsi="Times New Roman"/>
          <w:color w:val="221E1F"/>
          <w:sz w:val="24"/>
          <w:szCs w:val="24"/>
        </w:rPr>
        <w:t xml:space="preserve"> </w:t>
      </w:r>
      <w:r w:rsidR="00446B21">
        <w:rPr>
          <w:rFonts w:ascii="Times New Roman" w:hAnsi="Times New Roman"/>
          <w:color w:val="221E1F"/>
          <w:sz w:val="24"/>
          <w:szCs w:val="24"/>
        </w:rPr>
        <w:t xml:space="preserve">This R&amp;D leads </w:t>
      </w:r>
      <w:r w:rsidRPr="00E1695A">
        <w:rPr>
          <w:rFonts w:ascii="Times New Roman" w:hAnsi="Times New Roman"/>
          <w:color w:val="221E1F"/>
          <w:sz w:val="24"/>
          <w:szCs w:val="24"/>
        </w:rPr>
        <w:t xml:space="preserve">to new technologies, models, and products and tools.  </w:t>
      </w:r>
      <w:r w:rsidRPr="00BE6C3D">
        <w:rPr>
          <w:rFonts w:ascii="Times New Roman" w:hAnsi="Times New Roman"/>
          <w:color w:val="221E1F"/>
          <w:sz w:val="24"/>
          <w:szCs w:val="24"/>
        </w:rPr>
        <w:t xml:space="preserve">NOAA’s National Environmental Satellite Data and Information Service, Center for Satellite Applications and Research (STAR) </w:t>
      </w:r>
      <w:r>
        <w:rPr>
          <w:rFonts w:ascii="Times New Roman" w:hAnsi="Times New Roman"/>
          <w:color w:val="221E1F"/>
          <w:sz w:val="24"/>
          <w:szCs w:val="24"/>
        </w:rPr>
        <w:t>a</w:t>
      </w:r>
      <w:r w:rsidRPr="00E1695A">
        <w:rPr>
          <w:rFonts w:ascii="Times New Roman" w:hAnsi="Times New Roman"/>
          <w:color w:val="221E1F"/>
          <w:sz w:val="24"/>
          <w:szCs w:val="24"/>
        </w:rPr>
        <w:t xml:space="preserve">ccelerates the transfer of satellite observations of land, atmosphere, ocean, and climate from scientific </w:t>
      </w:r>
      <w:r w:rsidR="00446B21">
        <w:rPr>
          <w:rFonts w:ascii="Times New Roman" w:hAnsi="Times New Roman"/>
          <w:color w:val="221E1F"/>
          <w:sz w:val="24"/>
          <w:szCs w:val="24"/>
        </w:rPr>
        <w:t xml:space="preserve">R&amp;D </w:t>
      </w:r>
      <w:r w:rsidRPr="00E1695A">
        <w:rPr>
          <w:rFonts w:ascii="Times New Roman" w:hAnsi="Times New Roman"/>
          <w:color w:val="221E1F"/>
          <w:sz w:val="24"/>
          <w:szCs w:val="24"/>
        </w:rPr>
        <w:t>into routine operations, enabling NOAA to offer state-of-the-art data, products, and services to decision-makers</w:t>
      </w:r>
      <w:r>
        <w:rPr>
          <w:rFonts w:ascii="Times New Roman" w:hAnsi="Times New Roman"/>
          <w:color w:val="221E1F"/>
          <w:sz w:val="24"/>
          <w:szCs w:val="24"/>
        </w:rPr>
        <w:t>.</w:t>
      </w:r>
      <w:r w:rsidR="00446B21">
        <w:rPr>
          <w:rFonts w:ascii="Times New Roman" w:hAnsi="Times New Roman"/>
          <w:color w:val="221E1F"/>
          <w:sz w:val="24"/>
          <w:szCs w:val="24"/>
        </w:rPr>
        <w:t xml:space="preserve">  NOAA’s Spectrum Efficient National Surveillance Radar Program includes R&amp;D activities to determine the feasibility of improving the efficiency and effectiveness of the spectrum use by federal radar operations.</w:t>
      </w:r>
    </w:p>
    <w:sectPr w:rsidR="00446B21" w:rsidRPr="00B24FE0" w:rsidSect="00940F09">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DADBE" w16cid:durableId="2280EACA"/>
  <w16cid:commentId w16cid:paraId="35BB5053" w16cid:durableId="2280EAF3"/>
  <w16cid:commentId w16cid:paraId="1F0C606D" w16cid:durableId="2281E30D"/>
  <w16cid:commentId w16cid:paraId="0ACB2174" w16cid:durableId="2281E36C"/>
  <w16cid:commentId w16cid:paraId="222064FD" w16cid:durableId="2281E656"/>
  <w16cid:commentId w16cid:paraId="1D0FF3C5" w16cid:durableId="22808E95"/>
  <w16cid:commentId w16cid:paraId="7CBCDF54" w16cid:durableId="2280D3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699BE" w14:textId="77777777" w:rsidR="003830EC" w:rsidRDefault="003830EC" w:rsidP="00DF08D0">
      <w:pPr>
        <w:spacing w:after="0" w:line="240" w:lineRule="auto"/>
      </w:pPr>
      <w:r>
        <w:separator/>
      </w:r>
    </w:p>
  </w:endnote>
  <w:endnote w:type="continuationSeparator" w:id="0">
    <w:p w14:paraId="7CBDBDEE" w14:textId="77777777" w:rsidR="003830EC" w:rsidRDefault="003830EC" w:rsidP="00DF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9 UltraCn">
    <w:altName w:val="Univers LT Std 59 Ultra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FBA2" w14:textId="724513BC" w:rsidR="003830EC" w:rsidRDefault="003830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1C13">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1C13">
      <w:rPr>
        <w:b/>
        <w:bCs/>
        <w:noProof/>
      </w:rPr>
      <w:t>12</w:t>
    </w:r>
    <w:r>
      <w:rPr>
        <w:b/>
        <w:bCs/>
        <w:sz w:val="24"/>
        <w:szCs w:val="24"/>
      </w:rPr>
      <w:fldChar w:fldCharType="end"/>
    </w:r>
  </w:p>
  <w:p w14:paraId="0E733A6A" w14:textId="77777777" w:rsidR="003830EC" w:rsidRDefault="00383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3C3E9" w14:textId="77777777" w:rsidR="003830EC" w:rsidRDefault="003830EC" w:rsidP="00DF08D0">
      <w:pPr>
        <w:spacing w:after="0" w:line="240" w:lineRule="auto"/>
      </w:pPr>
      <w:r>
        <w:separator/>
      </w:r>
    </w:p>
  </w:footnote>
  <w:footnote w:type="continuationSeparator" w:id="0">
    <w:p w14:paraId="74BBBCF5" w14:textId="77777777" w:rsidR="003830EC" w:rsidRDefault="003830EC" w:rsidP="00DF0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E814" w14:textId="77777777" w:rsidR="003830EC" w:rsidRPr="00DF08D0" w:rsidRDefault="003830EC" w:rsidP="007E3033">
    <w:pPr>
      <w:pStyle w:val="Header"/>
      <w:jc w:val="center"/>
      <w:rPr>
        <w:rFonts w:ascii="Times New Roman" w:hAnsi="Times New Roman"/>
        <w:b/>
        <w:sz w:val="24"/>
        <w:szCs w:val="24"/>
      </w:rPr>
    </w:pPr>
    <w:r>
      <w:rPr>
        <w:rFonts w:ascii="Times New Roman" w:hAnsi="Times New Roman"/>
        <w:b/>
        <w:sz w:val="24"/>
        <w:szCs w:val="24"/>
      </w:rPr>
      <w:t>National Oceanic and Atmospheric Administration (</w:t>
    </w:r>
    <w:r w:rsidRPr="00DF08D0">
      <w:rPr>
        <w:rFonts w:ascii="Times New Roman" w:hAnsi="Times New Roman"/>
        <w:b/>
        <w:sz w:val="24"/>
        <w:szCs w:val="24"/>
      </w:rPr>
      <w:t>NOAA</w:t>
    </w:r>
    <w:r>
      <w:rPr>
        <w:rFonts w:ascii="Times New Roman" w:hAnsi="Times New Roman"/>
        <w:b/>
        <w:sz w:val="24"/>
        <w:szCs w:val="24"/>
      </w:rPr>
      <w:t>)</w:t>
    </w:r>
  </w:p>
  <w:p w14:paraId="0877EFA8" w14:textId="77777777" w:rsidR="003830EC" w:rsidRPr="00DF08D0" w:rsidRDefault="003830EC" w:rsidP="007E3033">
    <w:pPr>
      <w:tabs>
        <w:tab w:val="center" w:pos="4680"/>
        <w:tab w:val="right" w:pos="9360"/>
      </w:tabs>
      <w:spacing w:after="0" w:line="240" w:lineRule="auto"/>
      <w:jc w:val="center"/>
      <w:rPr>
        <w:rFonts w:ascii="Times New Roman" w:hAnsi="Times New Roman"/>
        <w:b/>
        <w:sz w:val="24"/>
        <w:szCs w:val="24"/>
      </w:rPr>
    </w:pPr>
    <w:r w:rsidRPr="00DF08D0">
      <w:rPr>
        <w:rFonts w:ascii="Times New Roman" w:hAnsi="Times New Roman"/>
        <w:b/>
        <w:sz w:val="24"/>
        <w:szCs w:val="24"/>
      </w:rPr>
      <w:t>STEWARDSHIP INFORMATION</w:t>
    </w:r>
  </w:p>
  <w:p w14:paraId="7C31AFD6" w14:textId="438229F8" w:rsidR="003830EC" w:rsidRDefault="00897D74" w:rsidP="007E3033">
    <w:pPr>
      <w:tabs>
        <w:tab w:val="center" w:pos="4680"/>
        <w:tab w:val="right" w:pos="9360"/>
      </w:tabs>
      <w:spacing w:after="0" w:line="240" w:lineRule="auto"/>
      <w:jc w:val="center"/>
      <w:rPr>
        <w:rFonts w:ascii="Times New Roman" w:hAnsi="Times New Roman"/>
        <w:b/>
        <w:sz w:val="24"/>
        <w:szCs w:val="24"/>
      </w:rPr>
    </w:pPr>
    <w:r>
      <w:rPr>
        <w:rFonts w:ascii="Times New Roman" w:hAnsi="Times New Roman"/>
        <w:b/>
        <w:sz w:val="24"/>
        <w:szCs w:val="24"/>
      </w:rPr>
      <w:t>June 30</w:t>
    </w:r>
    <w:r w:rsidR="0043761B">
      <w:rPr>
        <w:rFonts w:ascii="Times New Roman" w:hAnsi="Times New Roman"/>
        <w:b/>
        <w:sz w:val="24"/>
        <w:szCs w:val="24"/>
      </w:rPr>
      <w:t>, 2021</w:t>
    </w:r>
  </w:p>
  <w:p w14:paraId="0AC88894" w14:textId="572AD76C" w:rsidR="003830EC" w:rsidRDefault="003830EC" w:rsidP="007E3033">
    <w:pPr>
      <w:tabs>
        <w:tab w:val="center" w:pos="4680"/>
        <w:tab w:val="right" w:pos="9360"/>
      </w:tabs>
      <w:spacing w:after="0" w:line="240" w:lineRule="auto"/>
      <w:jc w:val="center"/>
      <w:rPr>
        <w:rFonts w:ascii="Times New Roman" w:hAnsi="Times New Roman"/>
        <w:b/>
        <w:sz w:val="24"/>
        <w:szCs w:val="24"/>
      </w:rPr>
    </w:pPr>
  </w:p>
  <w:p w14:paraId="2A9E9D50" w14:textId="2CEB4D87" w:rsidR="003830EC" w:rsidRDefault="003830EC" w:rsidP="00FF34DB">
    <w:pPr>
      <w:tabs>
        <w:tab w:val="center" w:pos="4680"/>
        <w:tab w:val="right" w:pos="9360"/>
      </w:tabs>
      <w:spacing w:after="0" w:line="240" w:lineRule="auto"/>
      <w:rPr>
        <w:rFonts w:ascii="Times New Roman" w:hAnsi="Times New Roman"/>
        <w:b/>
        <w:sz w:val="24"/>
        <w:szCs w:val="24"/>
      </w:rPr>
    </w:pPr>
    <w:r w:rsidRPr="001D46F1">
      <w:rPr>
        <w:rFonts w:ascii="Times New Roman" w:eastAsia="Times New Roman" w:hAnsi="Times New Roman"/>
        <w:b/>
        <w:sz w:val="24"/>
        <w:szCs w:val="24"/>
        <w:lang w:val="x-none" w:eastAsia="x-none"/>
      </w:rPr>
      <w:t>(PLEASE REVIEW THIS DOCUMENT AND UPDATE AS NECESSARY, ESPECIALLY ALL IT</w:t>
    </w:r>
    <w:r>
      <w:rPr>
        <w:rFonts w:ascii="Times New Roman" w:eastAsia="Times New Roman" w:hAnsi="Times New Roman"/>
        <w:b/>
        <w:sz w:val="24"/>
        <w:szCs w:val="24"/>
        <w:lang w:eastAsia="x-none"/>
      </w:rPr>
      <w:t>E</w:t>
    </w:r>
    <w:r w:rsidRPr="001D46F1">
      <w:rPr>
        <w:rFonts w:ascii="Times New Roman" w:eastAsia="Times New Roman" w:hAnsi="Times New Roman"/>
        <w:b/>
        <w:sz w:val="24"/>
        <w:szCs w:val="24"/>
        <w:lang w:val="x-none" w:eastAsia="x-none"/>
      </w:rPr>
      <w:t xml:space="preserve">MS IN </w:t>
    </w:r>
    <w:r w:rsidRPr="001D46F1">
      <w:rPr>
        <w:rFonts w:ascii="Times New Roman" w:eastAsia="Times New Roman" w:hAnsi="Times New Roman"/>
        <w:b/>
        <w:sz w:val="24"/>
        <w:szCs w:val="24"/>
        <w:highlight w:val="red"/>
        <w:lang w:val="x-none" w:eastAsia="x-none"/>
      </w:rPr>
      <w:t>RED</w:t>
    </w:r>
    <w:r>
      <w:rPr>
        <w:rFonts w:ascii="Times New Roman" w:eastAsia="Times New Roman" w:hAnsi="Times New Roman"/>
        <w:b/>
        <w:sz w:val="24"/>
        <w:szCs w:val="24"/>
        <w:lang w:eastAsia="x-none"/>
      </w:rPr>
      <w:t>.</w:t>
    </w:r>
    <w:r w:rsidRPr="001D46F1">
      <w:rPr>
        <w:rFonts w:ascii="Times New Roman" w:eastAsia="Times New Roman" w:hAnsi="Times New Roman"/>
        <w:b/>
        <w:sz w:val="24"/>
        <w:szCs w:val="24"/>
        <w:lang w:val="x-none" w:eastAsia="x-none"/>
      </w:rPr>
      <w:t xml:space="preserve"> </w:t>
    </w:r>
    <w:r>
      <w:rPr>
        <w:rFonts w:ascii="Times New Roman" w:eastAsia="Times New Roman" w:hAnsi="Times New Roman"/>
        <w:b/>
        <w:sz w:val="24"/>
        <w:szCs w:val="24"/>
        <w:lang w:eastAsia="x-none"/>
      </w:rPr>
      <w:t xml:space="preserve"> PLEASE SHADE </w:t>
    </w:r>
    <w:r w:rsidRPr="001D46F1">
      <w:rPr>
        <w:rFonts w:ascii="Times New Roman" w:eastAsia="Times New Roman" w:hAnsi="Times New Roman"/>
        <w:b/>
        <w:sz w:val="24"/>
        <w:szCs w:val="24"/>
        <w:lang w:val="x-none" w:eastAsia="x-none"/>
      </w:rPr>
      <w:t xml:space="preserve">ANY CHANGES </w:t>
    </w:r>
    <w:r w:rsidRPr="001D46F1">
      <w:rPr>
        <w:rFonts w:ascii="Times New Roman" w:eastAsia="Times New Roman" w:hAnsi="Times New Roman"/>
        <w:b/>
        <w:sz w:val="24"/>
        <w:szCs w:val="24"/>
        <w:highlight w:val="green"/>
        <w:lang w:val="x-none" w:eastAsia="x-none"/>
      </w:rPr>
      <w:t>GREEN</w:t>
    </w:r>
    <w:r w:rsidRPr="001D46F1">
      <w:rPr>
        <w:rFonts w:ascii="Times New Roman" w:eastAsia="Times New Roman" w:hAnsi="Times New Roman"/>
        <w:b/>
        <w:sz w:val="24"/>
        <w:szCs w:val="24"/>
        <w:lang w:val="x-none" w:eastAsia="x-none"/>
      </w:rPr>
      <w:t xml:space="preserve"> TO ENSURE THEYARE VISIBLE.</w:t>
    </w:r>
    <w:r>
      <w:rPr>
        <w:rFonts w:ascii="Times New Roman" w:eastAsia="Times New Roman" w:hAnsi="Times New Roman"/>
        <w:b/>
        <w:sz w:val="24"/>
        <w:szCs w:val="24"/>
        <w:lang w:eastAsia="x-none"/>
      </w:rPr>
      <w:t xml:space="preserve">  </w:t>
    </w:r>
    <w:r w:rsidRPr="00166BA9">
      <w:rPr>
        <w:rFonts w:ascii="Times New Roman" w:eastAsia="Times New Roman" w:hAnsi="Times New Roman"/>
        <w:b/>
        <w:sz w:val="24"/>
        <w:szCs w:val="24"/>
        <w:lang w:eastAsia="x-none"/>
      </w:rPr>
      <w:t xml:space="preserve">PLEASE SHADE ANY INFORMATION </w:t>
    </w:r>
    <w:r w:rsidRPr="00166BA9">
      <w:rPr>
        <w:rFonts w:ascii="Times New Roman" w:eastAsia="Times New Roman" w:hAnsi="Times New Roman"/>
        <w:b/>
        <w:sz w:val="24"/>
        <w:szCs w:val="24"/>
        <w:highlight w:val="blue"/>
        <w:lang w:eastAsia="x-none"/>
      </w:rPr>
      <w:t>BLUE</w:t>
    </w:r>
    <w:r w:rsidRPr="00166BA9">
      <w:rPr>
        <w:rFonts w:ascii="Times New Roman" w:eastAsia="Times New Roman" w:hAnsi="Times New Roman"/>
        <w:b/>
        <w:sz w:val="24"/>
        <w:szCs w:val="24"/>
        <w:lang w:eastAsia="x-none"/>
      </w:rPr>
      <w:t xml:space="preserve"> THAT HAS BEEN CONFIRMED BUT NOT CHANGED. </w:t>
    </w:r>
    <w:r w:rsidRPr="001D46F1">
      <w:rPr>
        <w:rFonts w:ascii="Times New Roman" w:eastAsia="Times New Roman" w:hAnsi="Times New Roman"/>
        <w:b/>
        <w:sz w:val="24"/>
        <w:szCs w:val="24"/>
        <w:lang w:val="x-none" w:eastAsia="x-none"/>
      </w:rPr>
      <w:t>)</w:t>
    </w:r>
  </w:p>
  <w:p w14:paraId="329ACE31" w14:textId="77777777" w:rsidR="003830EC" w:rsidRPr="00AB7058" w:rsidRDefault="003830EC" w:rsidP="00324096">
    <w:pPr>
      <w:tabs>
        <w:tab w:val="center" w:pos="4680"/>
        <w:tab w:val="right" w:pos="9360"/>
      </w:tabs>
      <w:spacing w:after="0" w:line="240" w:lineRule="auto"/>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4BDD"/>
    <w:multiLevelType w:val="hybridMultilevel"/>
    <w:tmpl w:val="8C90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B64BA"/>
    <w:multiLevelType w:val="hybridMultilevel"/>
    <w:tmpl w:val="1EFE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880"/>
    <w:multiLevelType w:val="hybridMultilevel"/>
    <w:tmpl w:val="BD9C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2EBD"/>
    <w:multiLevelType w:val="hybridMultilevel"/>
    <w:tmpl w:val="7CA4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328AC"/>
    <w:multiLevelType w:val="hybridMultilevel"/>
    <w:tmpl w:val="0C2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03F1E"/>
    <w:multiLevelType w:val="hybridMultilevel"/>
    <w:tmpl w:val="6C1A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97C95"/>
    <w:multiLevelType w:val="hybridMultilevel"/>
    <w:tmpl w:val="7440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B49D8"/>
    <w:multiLevelType w:val="hybridMultilevel"/>
    <w:tmpl w:val="53902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8666AE"/>
    <w:multiLevelType w:val="hybridMultilevel"/>
    <w:tmpl w:val="D798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50A74"/>
    <w:multiLevelType w:val="hybridMultilevel"/>
    <w:tmpl w:val="35FE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F08C9"/>
    <w:multiLevelType w:val="hybridMultilevel"/>
    <w:tmpl w:val="8BC2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C6ACF"/>
    <w:multiLevelType w:val="hybridMultilevel"/>
    <w:tmpl w:val="2BDE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B2F6F"/>
    <w:multiLevelType w:val="hybridMultilevel"/>
    <w:tmpl w:val="C666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E0753"/>
    <w:multiLevelType w:val="hybridMultilevel"/>
    <w:tmpl w:val="0956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9550B"/>
    <w:multiLevelType w:val="hybridMultilevel"/>
    <w:tmpl w:val="8DB2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61AF4"/>
    <w:multiLevelType w:val="hybridMultilevel"/>
    <w:tmpl w:val="261E9670"/>
    <w:lvl w:ilvl="0" w:tplc="CBEA871A">
      <w:start w:val="1"/>
      <w:numFmt w:val="bullet"/>
      <w:lvlText w:val="o"/>
      <w:lvlJc w:val="left"/>
      <w:pPr>
        <w:ind w:left="720" w:hanging="360"/>
      </w:pPr>
      <w:rPr>
        <w:rFonts w:ascii="Courier New" w:hAnsi="Courier New" w:cs="Courier New"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443FA"/>
    <w:multiLevelType w:val="hybridMultilevel"/>
    <w:tmpl w:val="24C2AF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44502"/>
    <w:multiLevelType w:val="hybridMultilevel"/>
    <w:tmpl w:val="3F0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D2007"/>
    <w:multiLevelType w:val="hybridMultilevel"/>
    <w:tmpl w:val="E488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B237C"/>
    <w:multiLevelType w:val="hybridMultilevel"/>
    <w:tmpl w:val="24F2A9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5220F6E"/>
    <w:multiLevelType w:val="hybridMultilevel"/>
    <w:tmpl w:val="3C4E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B4C5F"/>
    <w:multiLevelType w:val="hybridMultilevel"/>
    <w:tmpl w:val="155E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4393D"/>
    <w:multiLevelType w:val="hybridMultilevel"/>
    <w:tmpl w:val="0B1A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A491A"/>
    <w:multiLevelType w:val="hybridMultilevel"/>
    <w:tmpl w:val="BF8A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F43C4"/>
    <w:multiLevelType w:val="hybridMultilevel"/>
    <w:tmpl w:val="E468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853A0"/>
    <w:multiLevelType w:val="hybridMultilevel"/>
    <w:tmpl w:val="D6C4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F082B"/>
    <w:multiLevelType w:val="hybridMultilevel"/>
    <w:tmpl w:val="EE86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B5BA6"/>
    <w:multiLevelType w:val="hybridMultilevel"/>
    <w:tmpl w:val="8606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1"/>
  </w:num>
  <w:num w:numId="4">
    <w:abstractNumId w:val="13"/>
  </w:num>
  <w:num w:numId="5">
    <w:abstractNumId w:val="9"/>
  </w:num>
  <w:num w:numId="6">
    <w:abstractNumId w:val="27"/>
  </w:num>
  <w:num w:numId="7">
    <w:abstractNumId w:val="12"/>
  </w:num>
  <w:num w:numId="8">
    <w:abstractNumId w:val="10"/>
  </w:num>
  <w:num w:numId="9">
    <w:abstractNumId w:val="5"/>
  </w:num>
  <w:num w:numId="10">
    <w:abstractNumId w:val="21"/>
  </w:num>
  <w:num w:numId="11">
    <w:abstractNumId w:val="23"/>
  </w:num>
  <w:num w:numId="12">
    <w:abstractNumId w:val="16"/>
  </w:num>
  <w:num w:numId="13">
    <w:abstractNumId w:val="25"/>
  </w:num>
  <w:num w:numId="14">
    <w:abstractNumId w:val="17"/>
  </w:num>
  <w:num w:numId="15">
    <w:abstractNumId w:val="1"/>
  </w:num>
  <w:num w:numId="16">
    <w:abstractNumId w:val="26"/>
  </w:num>
  <w:num w:numId="17">
    <w:abstractNumId w:val="6"/>
  </w:num>
  <w:num w:numId="18">
    <w:abstractNumId w:val="15"/>
  </w:num>
  <w:num w:numId="19">
    <w:abstractNumId w:val="7"/>
  </w:num>
  <w:num w:numId="20">
    <w:abstractNumId w:val="19"/>
  </w:num>
  <w:num w:numId="21">
    <w:abstractNumId w:val="24"/>
  </w:num>
  <w:num w:numId="22">
    <w:abstractNumId w:val="14"/>
  </w:num>
  <w:num w:numId="23">
    <w:abstractNumId w:val="2"/>
  </w:num>
  <w:num w:numId="24">
    <w:abstractNumId w:val="8"/>
  </w:num>
  <w:num w:numId="25">
    <w:abstractNumId w:val="22"/>
  </w:num>
  <w:num w:numId="26">
    <w:abstractNumId w:val="4"/>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0A"/>
    <w:rsid w:val="000007B0"/>
    <w:rsid w:val="00000A84"/>
    <w:rsid w:val="00001C7B"/>
    <w:rsid w:val="000031E8"/>
    <w:rsid w:val="00006348"/>
    <w:rsid w:val="00010E0C"/>
    <w:rsid w:val="00012132"/>
    <w:rsid w:val="00013290"/>
    <w:rsid w:val="0001375D"/>
    <w:rsid w:val="00015101"/>
    <w:rsid w:val="000201FD"/>
    <w:rsid w:val="000208F4"/>
    <w:rsid w:val="000215EC"/>
    <w:rsid w:val="00026B6F"/>
    <w:rsid w:val="000271D0"/>
    <w:rsid w:val="000308CE"/>
    <w:rsid w:val="00030900"/>
    <w:rsid w:val="00032951"/>
    <w:rsid w:val="00034319"/>
    <w:rsid w:val="00036FED"/>
    <w:rsid w:val="00042323"/>
    <w:rsid w:val="00043729"/>
    <w:rsid w:val="000455FC"/>
    <w:rsid w:val="000456C8"/>
    <w:rsid w:val="0004694B"/>
    <w:rsid w:val="000476A5"/>
    <w:rsid w:val="00056ED5"/>
    <w:rsid w:val="00060802"/>
    <w:rsid w:val="00060AB7"/>
    <w:rsid w:val="00060B2E"/>
    <w:rsid w:val="00061BC6"/>
    <w:rsid w:val="00061DCC"/>
    <w:rsid w:val="00064F34"/>
    <w:rsid w:val="00065697"/>
    <w:rsid w:val="00067BBB"/>
    <w:rsid w:val="0007154B"/>
    <w:rsid w:val="00071F23"/>
    <w:rsid w:val="000749A8"/>
    <w:rsid w:val="000754C0"/>
    <w:rsid w:val="0007642A"/>
    <w:rsid w:val="0007710D"/>
    <w:rsid w:val="000771E0"/>
    <w:rsid w:val="00077EAA"/>
    <w:rsid w:val="000820EE"/>
    <w:rsid w:val="0008224A"/>
    <w:rsid w:val="00084F05"/>
    <w:rsid w:val="00085364"/>
    <w:rsid w:val="00086EDE"/>
    <w:rsid w:val="00091206"/>
    <w:rsid w:val="00094120"/>
    <w:rsid w:val="00094754"/>
    <w:rsid w:val="000955D8"/>
    <w:rsid w:val="00096C70"/>
    <w:rsid w:val="00097113"/>
    <w:rsid w:val="000976FA"/>
    <w:rsid w:val="000A5E00"/>
    <w:rsid w:val="000A76BB"/>
    <w:rsid w:val="000A77EA"/>
    <w:rsid w:val="000A7A40"/>
    <w:rsid w:val="000B3159"/>
    <w:rsid w:val="000B37AA"/>
    <w:rsid w:val="000B3828"/>
    <w:rsid w:val="000B4ACE"/>
    <w:rsid w:val="000B54B4"/>
    <w:rsid w:val="000B5AEF"/>
    <w:rsid w:val="000C12A5"/>
    <w:rsid w:val="000C37B2"/>
    <w:rsid w:val="000C44F1"/>
    <w:rsid w:val="000C6687"/>
    <w:rsid w:val="000C6789"/>
    <w:rsid w:val="000C6A4A"/>
    <w:rsid w:val="000C732C"/>
    <w:rsid w:val="000D212B"/>
    <w:rsid w:val="000D4631"/>
    <w:rsid w:val="000D548D"/>
    <w:rsid w:val="000D75E1"/>
    <w:rsid w:val="000E0C17"/>
    <w:rsid w:val="000E216D"/>
    <w:rsid w:val="000F07E9"/>
    <w:rsid w:val="000F2404"/>
    <w:rsid w:val="000F2CD9"/>
    <w:rsid w:val="000F5388"/>
    <w:rsid w:val="000F6DFA"/>
    <w:rsid w:val="000F7753"/>
    <w:rsid w:val="0010045D"/>
    <w:rsid w:val="001006DC"/>
    <w:rsid w:val="00102F87"/>
    <w:rsid w:val="001038D4"/>
    <w:rsid w:val="00103B88"/>
    <w:rsid w:val="00104098"/>
    <w:rsid w:val="00105DB4"/>
    <w:rsid w:val="0010620A"/>
    <w:rsid w:val="00106768"/>
    <w:rsid w:val="00106CC9"/>
    <w:rsid w:val="00112F61"/>
    <w:rsid w:val="00114753"/>
    <w:rsid w:val="001151C3"/>
    <w:rsid w:val="00115C6B"/>
    <w:rsid w:val="001173F9"/>
    <w:rsid w:val="00120FE5"/>
    <w:rsid w:val="00121BB9"/>
    <w:rsid w:val="00124150"/>
    <w:rsid w:val="001247BA"/>
    <w:rsid w:val="0012655F"/>
    <w:rsid w:val="0013127F"/>
    <w:rsid w:val="00131EC4"/>
    <w:rsid w:val="001338CA"/>
    <w:rsid w:val="00136BF5"/>
    <w:rsid w:val="00136F1E"/>
    <w:rsid w:val="00137767"/>
    <w:rsid w:val="00143426"/>
    <w:rsid w:val="001444C7"/>
    <w:rsid w:val="001459B4"/>
    <w:rsid w:val="001470E5"/>
    <w:rsid w:val="001478A4"/>
    <w:rsid w:val="00150A4C"/>
    <w:rsid w:val="00151AA7"/>
    <w:rsid w:val="00157FF2"/>
    <w:rsid w:val="0016017F"/>
    <w:rsid w:val="001644F4"/>
    <w:rsid w:val="00166007"/>
    <w:rsid w:val="001662EF"/>
    <w:rsid w:val="00166BA9"/>
    <w:rsid w:val="001734D0"/>
    <w:rsid w:val="00175A76"/>
    <w:rsid w:val="00175AE5"/>
    <w:rsid w:val="00176740"/>
    <w:rsid w:val="00176BDD"/>
    <w:rsid w:val="00177B86"/>
    <w:rsid w:val="001801A8"/>
    <w:rsid w:val="0018038B"/>
    <w:rsid w:val="001822D8"/>
    <w:rsid w:val="00182674"/>
    <w:rsid w:val="001828CA"/>
    <w:rsid w:val="00182E91"/>
    <w:rsid w:val="0018356B"/>
    <w:rsid w:val="00183948"/>
    <w:rsid w:val="0018505F"/>
    <w:rsid w:val="0019520C"/>
    <w:rsid w:val="00195B82"/>
    <w:rsid w:val="001A01FA"/>
    <w:rsid w:val="001A2F9D"/>
    <w:rsid w:val="001A6F01"/>
    <w:rsid w:val="001B0175"/>
    <w:rsid w:val="001B3E9B"/>
    <w:rsid w:val="001B554D"/>
    <w:rsid w:val="001B646F"/>
    <w:rsid w:val="001C06B6"/>
    <w:rsid w:val="001C224B"/>
    <w:rsid w:val="001C6665"/>
    <w:rsid w:val="001C6BF5"/>
    <w:rsid w:val="001C7E59"/>
    <w:rsid w:val="001D01D1"/>
    <w:rsid w:val="001D0E34"/>
    <w:rsid w:val="001D0F05"/>
    <w:rsid w:val="001D275D"/>
    <w:rsid w:val="001D309F"/>
    <w:rsid w:val="001D57EB"/>
    <w:rsid w:val="001E0C45"/>
    <w:rsid w:val="001E1AAC"/>
    <w:rsid w:val="001E271C"/>
    <w:rsid w:val="001E7372"/>
    <w:rsid w:val="001E7B13"/>
    <w:rsid w:val="001F0F1A"/>
    <w:rsid w:val="001F14FC"/>
    <w:rsid w:val="001F232F"/>
    <w:rsid w:val="001F301C"/>
    <w:rsid w:val="001F3186"/>
    <w:rsid w:val="001F5DDD"/>
    <w:rsid w:val="00200AFB"/>
    <w:rsid w:val="0020192F"/>
    <w:rsid w:val="002026F3"/>
    <w:rsid w:val="00203AD8"/>
    <w:rsid w:val="002057B6"/>
    <w:rsid w:val="00206218"/>
    <w:rsid w:val="002067DF"/>
    <w:rsid w:val="0020720C"/>
    <w:rsid w:val="0020767F"/>
    <w:rsid w:val="00207BF5"/>
    <w:rsid w:val="0021485F"/>
    <w:rsid w:val="00221020"/>
    <w:rsid w:val="00223C7A"/>
    <w:rsid w:val="00227F4C"/>
    <w:rsid w:val="00230CF0"/>
    <w:rsid w:val="002316F9"/>
    <w:rsid w:val="00233B1F"/>
    <w:rsid w:val="0023420D"/>
    <w:rsid w:val="00234F84"/>
    <w:rsid w:val="00240674"/>
    <w:rsid w:val="00241ECE"/>
    <w:rsid w:val="00241EFC"/>
    <w:rsid w:val="002455D4"/>
    <w:rsid w:val="00245DC1"/>
    <w:rsid w:val="00252650"/>
    <w:rsid w:val="00255F61"/>
    <w:rsid w:val="0026151F"/>
    <w:rsid w:val="0026223E"/>
    <w:rsid w:val="00264FC5"/>
    <w:rsid w:val="00265D9C"/>
    <w:rsid w:val="0027003B"/>
    <w:rsid w:val="00274529"/>
    <w:rsid w:val="00274E7C"/>
    <w:rsid w:val="00275FBA"/>
    <w:rsid w:val="002760BE"/>
    <w:rsid w:val="00276EB3"/>
    <w:rsid w:val="00282C66"/>
    <w:rsid w:val="002835D1"/>
    <w:rsid w:val="00283E5B"/>
    <w:rsid w:val="00287A66"/>
    <w:rsid w:val="00290B54"/>
    <w:rsid w:val="00290FA4"/>
    <w:rsid w:val="00291461"/>
    <w:rsid w:val="002925C8"/>
    <w:rsid w:val="00294C97"/>
    <w:rsid w:val="002963FB"/>
    <w:rsid w:val="002A1033"/>
    <w:rsid w:val="002A27D2"/>
    <w:rsid w:val="002A2A54"/>
    <w:rsid w:val="002A652A"/>
    <w:rsid w:val="002A7A4E"/>
    <w:rsid w:val="002B09E3"/>
    <w:rsid w:val="002B2249"/>
    <w:rsid w:val="002B234A"/>
    <w:rsid w:val="002B370B"/>
    <w:rsid w:val="002B3EED"/>
    <w:rsid w:val="002B6CEF"/>
    <w:rsid w:val="002C0C9B"/>
    <w:rsid w:val="002C248D"/>
    <w:rsid w:val="002C5577"/>
    <w:rsid w:val="002D1304"/>
    <w:rsid w:val="002D1D0E"/>
    <w:rsid w:val="002D1E4A"/>
    <w:rsid w:val="002D206A"/>
    <w:rsid w:val="002D316B"/>
    <w:rsid w:val="002D3B9A"/>
    <w:rsid w:val="002D3D7A"/>
    <w:rsid w:val="002D4164"/>
    <w:rsid w:val="002D72B5"/>
    <w:rsid w:val="002E1766"/>
    <w:rsid w:val="002E2C4D"/>
    <w:rsid w:val="002E4EED"/>
    <w:rsid w:val="002E6B4B"/>
    <w:rsid w:val="002F0B6A"/>
    <w:rsid w:val="002F1260"/>
    <w:rsid w:val="002F333A"/>
    <w:rsid w:val="002F3BFB"/>
    <w:rsid w:val="003001A1"/>
    <w:rsid w:val="00300F97"/>
    <w:rsid w:val="003054C5"/>
    <w:rsid w:val="00310481"/>
    <w:rsid w:val="003107CE"/>
    <w:rsid w:val="00312628"/>
    <w:rsid w:val="00313B4F"/>
    <w:rsid w:val="00314484"/>
    <w:rsid w:val="003160C3"/>
    <w:rsid w:val="003161B3"/>
    <w:rsid w:val="00320256"/>
    <w:rsid w:val="00321F29"/>
    <w:rsid w:val="003221FC"/>
    <w:rsid w:val="00322B47"/>
    <w:rsid w:val="00324096"/>
    <w:rsid w:val="00326BC6"/>
    <w:rsid w:val="00327191"/>
    <w:rsid w:val="00331655"/>
    <w:rsid w:val="0033403F"/>
    <w:rsid w:val="00335602"/>
    <w:rsid w:val="00340241"/>
    <w:rsid w:val="0034173F"/>
    <w:rsid w:val="00343533"/>
    <w:rsid w:val="0034461B"/>
    <w:rsid w:val="003451FD"/>
    <w:rsid w:val="003507B5"/>
    <w:rsid w:val="00353875"/>
    <w:rsid w:val="003546B9"/>
    <w:rsid w:val="00355B4F"/>
    <w:rsid w:val="00356DB0"/>
    <w:rsid w:val="00357056"/>
    <w:rsid w:val="003571AD"/>
    <w:rsid w:val="00360418"/>
    <w:rsid w:val="0036168D"/>
    <w:rsid w:val="00363660"/>
    <w:rsid w:val="00365F20"/>
    <w:rsid w:val="003672E2"/>
    <w:rsid w:val="003675F5"/>
    <w:rsid w:val="0037023B"/>
    <w:rsid w:val="003724B6"/>
    <w:rsid w:val="00375095"/>
    <w:rsid w:val="00375457"/>
    <w:rsid w:val="00376B81"/>
    <w:rsid w:val="003830EC"/>
    <w:rsid w:val="00385119"/>
    <w:rsid w:val="0038669F"/>
    <w:rsid w:val="00390EE5"/>
    <w:rsid w:val="00391D17"/>
    <w:rsid w:val="003929F0"/>
    <w:rsid w:val="00393A65"/>
    <w:rsid w:val="0039521E"/>
    <w:rsid w:val="00396F8A"/>
    <w:rsid w:val="003A60A8"/>
    <w:rsid w:val="003A6E1A"/>
    <w:rsid w:val="003A7573"/>
    <w:rsid w:val="003B036F"/>
    <w:rsid w:val="003B0B96"/>
    <w:rsid w:val="003B23F7"/>
    <w:rsid w:val="003B56E8"/>
    <w:rsid w:val="003C11FB"/>
    <w:rsid w:val="003C1EEE"/>
    <w:rsid w:val="003C1FAA"/>
    <w:rsid w:val="003C7423"/>
    <w:rsid w:val="003C7739"/>
    <w:rsid w:val="003C7754"/>
    <w:rsid w:val="003D0E54"/>
    <w:rsid w:val="003D269E"/>
    <w:rsid w:val="003D7191"/>
    <w:rsid w:val="003E3DFF"/>
    <w:rsid w:val="003E50B6"/>
    <w:rsid w:val="003E52EB"/>
    <w:rsid w:val="003E5470"/>
    <w:rsid w:val="003E7BD4"/>
    <w:rsid w:val="003F1F25"/>
    <w:rsid w:val="003F21EC"/>
    <w:rsid w:val="003F7434"/>
    <w:rsid w:val="0040149F"/>
    <w:rsid w:val="004044C3"/>
    <w:rsid w:val="00405537"/>
    <w:rsid w:val="00406599"/>
    <w:rsid w:val="00406DAA"/>
    <w:rsid w:val="00410359"/>
    <w:rsid w:val="00413321"/>
    <w:rsid w:val="00414116"/>
    <w:rsid w:val="00414A7F"/>
    <w:rsid w:val="004171C5"/>
    <w:rsid w:val="00423FA8"/>
    <w:rsid w:val="004242FB"/>
    <w:rsid w:val="004266C0"/>
    <w:rsid w:val="00427E95"/>
    <w:rsid w:val="00427EB6"/>
    <w:rsid w:val="00430F79"/>
    <w:rsid w:val="0043761B"/>
    <w:rsid w:val="00440D06"/>
    <w:rsid w:val="00441510"/>
    <w:rsid w:val="004437A8"/>
    <w:rsid w:val="0044541B"/>
    <w:rsid w:val="00445B47"/>
    <w:rsid w:val="00446B21"/>
    <w:rsid w:val="00447A29"/>
    <w:rsid w:val="00454270"/>
    <w:rsid w:val="0045441D"/>
    <w:rsid w:val="00461ED0"/>
    <w:rsid w:val="00463044"/>
    <w:rsid w:val="0046309C"/>
    <w:rsid w:val="00464044"/>
    <w:rsid w:val="00464D3E"/>
    <w:rsid w:val="00466A60"/>
    <w:rsid w:val="00470DF3"/>
    <w:rsid w:val="00474714"/>
    <w:rsid w:val="004762A2"/>
    <w:rsid w:val="004769FB"/>
    <w:rsid w:val="00476E05"/>
    <w:rsid w:val="00486D81"/>
    <w:rsid w:val="00490529"/>
    <w:rsid w:val="00492EE3"/>
    <w:rsid w:val="0049747A"/>
    <w:rsid w:val="004A093C"/>
    <w:rsid w:val="004A0F6F"/>
    <w:rsid w:val="004A0F83"/>
    <w:rsid w:val="004A2701"/>
    <w:rsid w:val="004A31E4"/>
    <w:rsid w:val="004A3878"/>
    <w:rsid w:val="004A7D94"/>
    <w:rsid w:val="004B03E2"/>
    <w:rsid w:val="004B167E"/>
    <w:rsid w:val="004B1FBA"/>
    <w:rsid w:val="004B232B"/>
    <w:rsid w:val="004B3D60"/>
    <w:rsid w:val="004B562A"/>
    <w:rsid w:val="004B7645"/>
    <w:rsid w:val="004B7678"/>
    <w:rsid w:val="004C2749"/>
    <w:rsid w:val="004C6317"/>
    <w:rsid w:val="004D0014"/>
    <w:rsid w:val="004D02C7"/>
    <w:rsid w:val="004D0F0B"/>
    <w:rsid w:val="004D1027"/>
    <w:rsid w:val="004D51A8"/>
    <w:rsid w:val="004D5A19"/>
    <w:rsid w:val="004D6B89"/>
    <w:rsid w:val="004D6EF8"/>
    <w:rsid w:val="004D7BB4"/>
    <w:rsid w:val="004D7E0D"/>
    <w:rsid w:val="004E2285"/>
    <w:rsid w:val="004E345B"/>
    <w:rsid w:val="004E7A12"/>
    <w:rsid w:val="004F12AC"/>
    <w:rsid w:val="004F16F4"/>
    <w:rsid w:val="004F3F5E"/>
    <w:rsid w:val="004F5E59"/>
    <w:rsid w:val="004F6680"/>
    <w:rsid w:val="004F6DE6"/>
    <w:rsid w:val="004F6F5B"/>
    <w:rsid w:val="00500276"/>
    <w:rsid w:val="00502A22"/>
    <w:rsid w:val="00503F2D"/>
    <w:rsid w:val="00507198"/>
    <w:rsid w:val="005118F4"/>
    <w:rsid w:val="00511E37"/>
    <w:rsid w:val="00511E58"/>
    <w:rsid w:val="00511ED9"/>
    <w:rsid w:val="00511FB6"/>
    <w:rsid w:val="005128A0"/>
    <w:rsid w:val="0051697F"/>
    <w:rsid w:val="00517067"/>
    <w:rsid w:val="00517D35"/>
    <w:rsid w:val="00524980"/>
    <w:rsid w:val="00530134"/>
    <w:rsid w:val="0053235E"/>
    <w:rsid w:val="0053279E"/>
    <w:rsid w:val="0053469A"/>
    <w:rsid w:val="005354A3"/>
    <w:rsid w:val="0053707B"/>
    <w:rsid w:val="00537D8E"/>
    <w:rsid w:val="00542EBC"/>
    <w:rsid w:val="0054363F"/>
    <w:rsid w:val="00544C1C"/>
    <w:rsid w:val="00545D5E"/>
    <w:rsid w:val="00546BB6"/>
    <w:rsid w:val="00550E70"/>
    <w:rsid w:val="005539A6"/>
    <w:rsid w:val="00555C36"/>
    <w:rsid w:val="00556426"/>
    <w:rsid w:val="00557F1C"/>
    <w:rsid w:val="005607ED"/>
    <w:rsid w:val="005608AD"/>
    <w:rsid w:val="00564512"/>
    <w:rsid w:val="00566217"/>
    <w:rsid w:val="0056723F"/>
    <w:rsid w:val="005673A3"/>
    <w:rsid w:val="00570EE0"/>
    <w:rsid w:val="005712D0"/>
    <w:rsid w:val="0057130D"/>
    <w:rsid w:val="0057157B"/>
    <w:rsid w:val="005757D0"/>
    <w:rsid w:val="00580A34"/>
    <w:rsid w:val="00583321"/>
    <w:rsid w:val="005845D7"/>
    <w:rsid w:val="0058534E"/>
    <w:rsid w:val="00586335"/>
    <w:rsid w:val="00591886"/>
    <w:rsid w:val="005952E0"/>
    <w:rsid w:val="00596E2A"/>
    <w:rsid w:val="005A0D89"/>
    <w:rsid w:val="005A51B3"/>
    <w:rsid w:val="005A5F0F"/>
    <w:rsid w:val="005B0C34"/>
    <w:rsid w:val="005B1594"/>
    <w:rsid w:val="005B1E86"/>
    <w:rsid w:val="005B4D71"/>
    <w:rsid w:val="005C21F8"/>
    <w:rsid w:val="005C4862"/>
    <w:rsid w:val="005C4A05"/>
    <w:rsid w:val="005C7D33"/>
    <w:rsid w:val="005D13F7"/>
    <w:rsid w:val="005D1E7E"/>
    <w:rsid w:val="005D63F5"/>
    <w:rsid w:val="005E22B0"/>
    <w:rsid w:val="005E2609"/>
    <w:rsid w:val="005E52D5"/>
    <w:rsid w:val="005F1BB4"/>
    <w:rsid w:val="005F1C07"/>
    <w:rsid w:val="005F6859"/>
    <w:rsid w:val="005F78E6"/>
    <w:rsid w:val="005F7B0B"/>
    <w:rsid w:val="005F7F01"/>
    <w:rsid w:val="00600CB6"/>
    <w:rsid w:val="00600E5C"/>
    <w:rsid w:val="006022D7"/>
    <w:rsid w:val="006036D3"/>
    <w:rsid w:val="00607DA4"/>
    <w:rsid w:val="00612BCB"/>
    <w:rsid w:val="006132DF"/>
    <w:rsid w:val="006176F1"/>
    <w:rsid w:val="00621440"/>
    <w:rsid w:val="00625936"/>
    <w:rsid w:val="00625CDF"/>
    <w:rsid w:val="00630268"/>
    <w:rsid w:val="00633249"/>
    <w:rsid w:val="00635689"/>
    <w:rsid w:val="00640874"/>
    <w:rsid w:val="00641286"/>
    <w:rsid w:val="00641841"/>
    <w:rsid w:val="00641851"/>
    <w:rsid w:val="00643D8E"/>
    <w:rsid w:val="00646FBA"/>
    <w:rsid w:val="006473F6"/>
    <w:rsid w:val="006503B7"/>
    <w:rsid w:val="00652B53"/>
    <w:rsid w:val="00653506"/>
    <w:rsid w:val="00654716"/>
    <w:rsid w:val="006559E5"/>
    <w:rsid w:val="006605B0"/>
    <w:rsid w:val="0066149A"/>
    <w:rsid w:val="00663AD3"/>
    <w:rsid w:val="006671D0"/>
    <w:rsid w:val="00667280"/>
    <w:rsid w:val="00671351"/>
    <w:rsid w:val="006733B3"/>
    <w:rsid w:val="006740D6"/>
    <w:rsid w:val="00674E1C"/>
    <w:rsid w:val="00685949"/>
    <w:rsid w:val="006869B6"/>
    <w:rsid w:val="00691A54"/>
    <w:rsid w:val="006952BF"/>
    <w:rsid w:val="006A0F20"/>
    <w:rsid w:val="006A2C47"/>
    <w:rsid w:val="006A31D8"/>
    <w:rsid w:val="006A3B04"/>
    <w:rsid w:val="006A4433"/>
    <w:rsid w:val="006A6873"/>
    <w:rsid w:val="006A6A22"/>
    <w:rsid w:val="006A74BE"/>
    <w:rsid w:val="006B109A"/>
    <w:rsid w:val="006B180A"/>
    <w:rsid w:val="006B73A1"/>
    <w:rsid w:val="006C0022"/>
    <w:rsid w:val="006C06F8"/>
    <w:rsid w:val="006C0B65"/>
    <w:rsid w:val="006C2C99"/>
    <w:rsid w:val="006C4D70"/>
    <w:rsid w:val="006C555A"/>
    <w:rsid w:val="006C666B"/>
    <w:rsid w:val="006C779C"/>
    <w:rsid w:val="006D394D"/>
    <w:rsid w:val="006D3C24"/>
    <w:rsid w:val="006D53B6"/>
    <w:rsid w:val="006D6C4B"/>
    <w:rsid w:val="006D7949"/>
    <w:rsid w:val="006F126F"/>
    <w:rsid w:val="006F37C4"/>
    <w:rsid w:val="006F6955"/>
    <w:rsid w:val="0070212A"/>
    <w:rsid w:val="0070236A"/>
    <w:rsid w:val="007041DD"/>
    <w:rsid w:val="007067F9"/>
    <w:rsid w:val="00706DC7"/>
    <w:rsid w:val="00706FBA"/>
    <w:rsid w:val="007076BD"/>
    <w:rsid w:val="007113FD"/>
    <w:rsid w:val="00714224"/>
    <w:rsid w:val="00717328"/>
    <w:rsid w:val="00717922"/>
    <w:rsid w:val="007205F2"/>
    <w:rsid w:val="00720BA3"/>
    <w:rsid w:val="007215E3"/>
    <w:rsid w:val="00722E2A"/>
    <w:rsid w:val="0072429E"/>
    <w:rsid w:val="007250C4"/>
    <w:rsid w:val="007254CF"/>
    <w:rsid w:val="00727608"/>
    <w:rsid w:val="00732A23"/>
    <w:rsid w:val="00732D4A"/>
    <w:rsid w:val="00734229"/>
    <w:rsid w:val="007435C4"/>
    <w:rsid w:val="00744C89"/>
    <w:rsid w:val="00745E95"/>
    <w:rsid w:val="00746172"/>
    <w:rsid w:val="007524B1"/>
    <w:rsid w:val="00752A91"/>
    <w:rsid w:val="00755A7F"/>
    <w:rsid w:val="0075638F"/>
    <w:rsid w:val="0076149B"/>
    <w:rsid w:val="007614A7"/>
    <w:rsid w:val="00762286"/>
    <w:rsid w:val="007631FB"/>
    <w:rsid w:val="007647C7"/>
    <w:rsid w:val="00764DFA"/>
    <w:rsid w:val="0077007B"/>
    <w:rsid w:val="007708B1"/>
    <w:rsid w:val="0077122A"/>
    <w:rsid w:val="0077131D"/>
    <w:rsid w:val="0077252C"/>
    <w:rsid w:val="00776A42"/>
    <w:rsid w:val="00780240"/>
    <w:rsid w:val="00780790"/>
    <w:rsid w:val="00783A1C"/>
    <w:rsid w:val="00784B23"/>
    <w:rsid w:val="00784E05"/>
    <w:rsid w:val="00786D4F"/>
    <w:rsid w:val="00791657"/>
    <w:rsid w:val="0079198C"/>
    <w:rsid w:val="00793B1B"/>
    <w:rsid w:val="00794325"/>
    <w:rsid w:val="007948D4"/>
    <w:rsid w:val="00795BB8"/>
    <w:rsid w:val="0079759C"/>
    <w:rsid w:val="007A164D"/>
    <w:rsid w:val="007A2C0C"/>
    <w:rsid w:val="007A5A7C"/>
    <w:rsid w:val="007A66A2"/>
    <w:rsid w:val="007A70B4"/>
    <w:rsid w:val="007A798D"/>
    <w:rsid w:val="007B223B"/>
    <w:rsid w:val="007B2B0E"/>
    <w:rsid w:val="007C1073"/>
    <w:rsid w:val="007C49C0"/>
    <w:rsid w:val="007C760E"/>
    <w:rsid w:val="007D19A5"/>
    <w:rsid w:val="007D211E"/>
    <w:rsid w:val="007D39C8"/>
    <w:rsid w:val="007D5DAA"/>
    <w:rsid w:val="007E0A95"/>
    <w:rsid w:val="007E19F8"/>
    <w:rsid w:val="007E1D54"/>
    <w:rsid w:val="007E2479"/>
    <w:rsid w:val="007E3033"/>
    <w:rsid w:val="007E322E"/>
    <w:rsid w:val="007E398A"/>
    <w:rsid w:val="007E5483"/>
    <w:rsid w:val="007E5C14"/>
    <w:rsid w:val="007E5D6E"/>
    <w:rsid w:val="007E79EB"/>
    <w:rsid w:val="007F000C"/>
    <w:rsid w:val="007F1087"/>
    <w:rsid w:val="007F115A"/>
    <w:rsid w:val="007F3490"/>
    <w:rsid w:val="007F5719"/>
    <w:rsid w:val="007F6907"/>
    <w:rsid w:val="0080789E"/>
    <w:rsid w:val="00807D15"/>
    <w:rsid w:val="008101F4"/>
    <w:rsid w:val="0081086E"/>
    <w:rsid w:val="008256CA"/>
    <w:rsid w:val="0082796D"/>
    <w:rsid w:val="008279E2"/>
    <w:rsid w:val="0083352B"/>
    <w:rsid w:val="008342AA"/>
    <w:rsid w:val="00834844"/>
    <w:rsid w:val="00834E4A"/>
    <w:rsid w:val="00835B7F"/>
    <w:rsid w:val="00841DBF"/>
    <w:rsid w:val="0084236A"/>
    <w:rsid w:val="008442A3"/>
    <w:rsid w:val="008500E1"/>
    <w:rsid w:val="0085077C"/>
    <w:rsid w:val="0085574F"/>
    <w:rsid w:val="00856EA8"/>
    <w:rsid w:val="00860213"/>
    <w:rsid w:val="00860F97"/>
    <w:rsid w:val="00863126"/>
    <w:rsid w:val="0086448F"/>
    <w:rsid w:val="008646F0"/>
    <w:rsid w:val="00865682"/>
    <w:rsid w:val="008660CD"/>
    <w:rsid w:val="0087255D"/>
    <w:rsid w:val="008746CD"/>
    <w:rsid w:val="008764D3"/>
    <w:rsid w:val="0087760A"/>
    <w:rsid w:val="008814CB"/>
    <w:rsid w:val="008843DC"/>
    <w:rsid w:val="00884512"/>
    <w:rsid w:val="0088574C"/>
    <w:rsid w:val="00891FFC"/>
    <w:rsid w:val="00893EFA"/>
    <w:rsid w:val="0089562D"/>
    <w:rsid w:val="0089723D"/>
    <w:rsid w:val="00897D74"/>
    <w:rsid w:val="008B019D"/>
    <w:rsid w:val="008B11BD"/>
    <w:rsid w:val="008B3280"/>
    <w:rsid w:val="008B6391"/>
    <w:rsid w:val="008B6767"/>
    <w:rsid w:val="008C0E85"/>
    <w:rsid w:val="008C15B9"/>
    <w:rsid w:val="008C1C82"/>
    <w:rsid w:val="008C1DDA"/>
    <w:rsid w:val="008C4498"/>
    <w:rsid w:val="008C7B88"/>
    <w:rsid w:val="008D66F4"/>
    <w:rsid w:val="008D6C3E"/>
    <w:rsid w:val="008E01E7"/>
    <w:rsid w:val="008E0319"/>
    <w:rsid w:val="008E3086"/>
    <w:rsid w:val="008F1EED"/>
    <w:rsid w:val="008F2505"/>
    <w:rsid w:val="008F3F83"/>
    <w:rsid w:val="008F5F20"/>
    <w:rsid w:val="008F65D1"/>
    <w:rsid w:val="008F7D07"/>
    <w:rsid w:val="008F7F3F"/>
    <w:rsid w:val="0090471A"/>
    <w:rsid w:val="00906FB1"/>
    <w:rsid w:val="009107DB"/>
    <w:rsid w:val="0091284C"/>
    <w:rsid w:val="009133DC"/>
    <w:rsid w:val="00915852"/>
    <w:rsid w:val="009166E6"/>
    <w:rsid w:val="00916D07"/>
    <w:rsid w:val="00920A6E"/>
    <w:rsid w:val="00923D06"/>
    <w:rsid w:val="009253D1"/>
    <w:rsid w:val="0092698E"/>
    <w:rsid w:val="00930A56"/>
    <w:rsid w:val="0093617F"/>
    <w:rsid w:val="00936AC5"/>
    <w:rsid w:val="0093721A"/>
    <w:rsid w:val="00940F09"/>
    <w:rsid w:val="009445BF"/>
    <w:rsid w:val="009452F6"/>
    <w:rsid w:val="00945BCF"/>
    <w:rsid w:val="00945DE9"/>
    <w:rsid w:val="00946DFA"/>
    <w:rsid w:val="00947399"/>
    <w:rsid w:val="0094775E"/>
    <w:rsid w:val="0095069E"/>
    <w:rsid w:val="00954AF7"/>
    <w:rsid w:val="00955524"/>
    <w:rsid w:val="00965115"/>
    <w:rsid w:val="00965B7F"/>
    <w:rsid w:val="00965DB7"/>
    <w:rsid w:val="00965F6F"/>
    <w:rsid w:val="0097025B"/>
    <w:rsid w:val="009705CA"/>
    <w:rsid w:val="009717F4"/>
    <w:rsid w:val="009750FF"/>
    <w:rsid w:val="00976728"/>
    <w:rsid w:val="00981CC1"/>
    <w:rsid w:val="0098287E"/>
    <w:rsid w:val="009839AE"/>
    <w:rsid w:val="00985015"/>
    <w:rsid w:val="00991086"/>
    <w:rsid w:val="00993C78"/>
    <w:rsid w:val="0099401F"/>
    <w:rsid w:val="009964F2"/>
    <w:rsid w:val="009A2D88"/>
    <w:rsid w:val="009A32C4"/>
    <w:rsid w:val="009A40EE"/>
    <w:rsid w:val="009A4AB7"/>
    <w:rsid w:val="009A6380"/>
    <w:rsid w:val="009A6FA4"/>
    <w:rsid w:val="009A7071"/>
    <w:rsid w:val="009B1100"/>
    <w:rsid w:val="009B4077"/>
    <w:rsid w:val="009B70FA"/>
    <w:rsid w:val="009C14E4"/>
    <w:rsid w:val="009C3646"/>
    <w:rsid w:val="009C3B96"/>
    <w:rsid w:val="009D304B"/>
    <w:rsid w:val="009D5347"/>
    <w:rsid w:val="009D619B"/>
    <w:rsid w:val="009E0D90"/>
    <w:rsid w:val="009E46A4"/>
    <w:rsid w:val="009E77D3"/>
    <w:rsid w:val="009F063E"/>
    <w:rsid w:val="009F1845"/>
    <w:rsid w:val="009F20DD"/>
    <w:rsid w:val="009F2C3D"/>
    <w:rsid w:val="009F3123"/>
    <w:rsid w:val="009F4094"/>
    <w:rsid w:val="009F40E9"/>
    <w:rsid w:val="00A005E2"/>
    <w:rsid w:val="00A02C77"/>
    <w:rsid w:val="00A030A7"/>
    <w:rsid w:val="00A05D8E"/>
    <w:rsid w:val="00A0779B"/>
    <w:rsid w:val="00A100C6"/>
    <w:rsid w:val="00A10AE6"/>
    <w:rsid w:val="00A10F61"/>
    <w:rsid w:val="00A10FC4"/>
    <w:rsid w:val="00A12F45"/>
    <w:rsid w:val="00A138FF"/>
    <w:rsid w:val="00A143E5"/>
    <w:rsid w:val="00A16159"/>
    <w:rsid w:val="00A162F1"/>
    <w:rsid w:val="00A220A2"/>
    <w:rsid w:val="00A24C03"/>
    <w:rsid w:val="00A2567A"/>
    <w:rsid w:val="00A25F89"/>
    <w:rsid w:val="00A26ABA"/>
    <w:rsid w:val="00A30469"/>
    <w:rsid w:val="00A337CE"/>
    <w:rsid w:val="00A368BB"/>
    <w:rsid w:val="00A379E0"/>
    <w:rsid w:val="00A40901"/>
    <w:rsid w:val="00A4443B"/>
    <w:rsid w:val="00A45283"/>
    <w:rsid w:val="00A46DFD"/>
    <w:rsid w:val="00A47813"/>
    <w:rsid w:val="00A518B1"/>
    <w:rsid w:val="00A51CEC"/>
    <w:rsid w:val="00A53983"/>
    <w:rsid w:val="00A54EF6"/>
    <w:rsid w:val="00A5648D"/>
    <w:rsid w:val="00A60351"/>
    <w:rsid w:val="00A61B9E"/>
    <w:rsid w:val="00A6394B"/>
    <w:rsid w:val="00A65BA1"/>
    <w:rsid w:val="00A66DB9"/>
    <w:rsid w:val="00A70B26"/>
    <w:rsid w:val="00A71C6A"/>
    <w:rsid w:val="00A755B0"/>
    <w:rsid w:val="00A81704"/>
    <w:rsid w:val="00A82012"/>
    <w:rsid w:val="00A84810"/>
    <w:rsid w:val="00A84DA9"/>
    <w:rsid w:val="00A860C8"/>
    <w:rsid w:val="00A873FA"/>
    <w:rsid w:val="00A90B0C"/>
    <w:rsid w:val="00A93C7D"/>
    <w:rsid w:val="00A93E82"/>
    <w:rsid w:val="00A945B4"/>
    <w:rsid w:val="00A95BB6"/>
    <w:rsid w:val="00A96CA3"/>
    <w:rsid w:val="00AA0497"/>
    <w:rsid w:val="00AA0FF3"/>
    <w:rsid w:val="00AA188C"/>
    <w:rsid w:val="00AA3718"/>
    <w:rsid w:val="00AA375A"/>
    <w:rsid w:val="00AA3FCF"/>
    <w:rsid w:val="00AB06F3"/>
    <w:rsid w:val="00AB2B70"/>
    <w:rsid w:val="00AB4375"/>
    <w:rsid w:val="00AB493C"/>
    <w:rsid w:val="00AB590B"/>
    <w:rsid w:val="00AB7058"/>
    <w:rsid w:val="00AC0549"/>
    <w:rsid w:val="00AC0E93"/>
    <w:rsid w:val="00AC44BF"/>
    <w:rsid w:val="00AC5A5F"/>
    <w:rsid w:val="00AC6CA7"/>
    <w:rsid w:val="00AC7905"/>
    <w:rsid w:val="00AC7918"/>
    <w:rsid w:val="00AD0FD6"/>
    <w:rsid w:val="00AD1179"/>
    <w:rsid w:val="00AD2B9B"/>
    <w:rsid w:val="00AD3622"/>
    <w:rsid w:val="00AD5287"/>
    <w:rsid w:val="00AD5F0D"/>
    <w:rsid w:val="00AD626A"/>
    <w:rsid w:val="00AD7F84"/>
    <w:rsid w:val="00AE00D1"/>
    <w:rsid w:val="00AE0185"/>
    <w:rsid w:val="00AE04BF"/>
    <w:rsid w:val="00AE09FA"/>
    <w:rsid w:val="00AE18EF"/>
    <w:rsid w:val="00AE205E"/>
    <w:rsid w:val="00AE215A"/>
    <w:rsid w:val="00AE426D"/>
    <w:rsid w:val="00AE4892"/>
    <w:rsid w:val="00AE5628"/>
    <w:rsid w:val="00AE6D7F"/>
    <w:rsid w:val="00AF13FB"/>
    <w:rsid w:val="00AF1543"/>
    <w:rsid w:val="00AF165A"/>
    <w:rsid w:val="00AF469D"/>
    <w:rsid w:val="00AF479B"/>
    <w:rsid w:val="00B009CA"/>
    <w:rsid w:val="00B00A7D"/>
    <w:rsid w:val="00B0286A"/>
    <w:rsid w:val="00B02D10"/>
    <w:rsid w:val="00B03EF9"/>
    <w:rsid w:val="00B0709E"/>
    <w:rsid w:val="00B10BA5"/>
    <w:rsid w:val="00B13E29"/>
    <w:rsid w:val="00B13EF2"/>
    <w:rsid w:val="00B155D0"/>
    <w:rsid w:val="00B215AB"/>
    <w:rsid w:val="00B24FE0"/>
    <w:rsid w:val="00B26B99"/>
    <w:rsid w:val="00B300BA"/>
    <w:rsid w:val="00B302E4"/>
    <w:rsid w:val="00B3057E"/>
    <w:rsid w:val="00B307EB"/>
    <w:rsid w:val="00B32029"/>
    <w:rsid w:val="00B3459D"/>
    <w:rsid w:val="00B36353"/>
    <w:rsid w:val="00B37A96"/>
    <w:rsid w:val="00B42200"/>
    <w:rsid w:val="00B42374"/>
    <w:rsid w:val="00B431A2"/>
    <w:rsid w:val="00B45D6E"/>
    <w:rsid w:val="00B51FFD"/>
    <w:rsid w:val="00B55844"/>
    <w:rsid w:val="00B56ACA"/>
    <w:rsid w:val="00B57142"/>
    <w:rsid w:val="00B6343D"/>
    <w:rsid w:val="00B64B20"/>
    <w:rsid w:val="00B65500"/>
    <w:rsid w:val="00B676C4"/>
    <w:rsid w:val="00B71B0B"/>
    <w:rsid w:val="00B726C9"/>
    <w:rsid w:val="00B7394A"/>
    <w:rsid w:val="00B75B89"/>
    <w:rsid w:val="00B81D8B"/>
    <w:rsid w:val="00B82423"/>
    <w:rsid w:val="00B9307F"/>
    <w:rsid w:val="00B94E52"/>
    <w:rsid w:val="00B954D1"/>
    <w:rsid w:val="00B97ECE"/>
    <w:rsid w:val="00BA149B"/>
    <w:rsid w:val="00BA1E81"/>
    <w:rsid w:val="00BA2D97"/>
    <w:rsid w:val="00BA2F57"/>
    <w:rsid w:val="00BA3BAF"/>
    <w:rsid w:val="00BA42ED"/>
    <w:rsid w:val="00BA4E5C"/>
    <w:rsid w:val="00BA65DB"/>
    <w:rsid w:val="00BB1E24"/>
    <w:rsid w:val="00BB43CA"/>
    <w:rsid w:val="00BB5B62"/>
    <w:rsid w:val="00BB5D13"/>
    <w:rsid w:val="00BC0F6A"/>
    <w:rsid w:val="00BC119F"/>
    <w:rsid w:val="00BC16E0"/>
    <w:rsid w:val="00BC18AA"/>
    <w:rsid w:val="00BC1A8B"/>
    <w:rsid w:val="00BC1DA3"/>
    <w:rsid w:val="00BC2828"/>
    <w:rsid w:val="00BC47F1"/>
    <w:rsid w:val="00BD0377"/>
    <w:rsid w:val="00BD1122"/>
    <w:rsid w:val="00BD18FF"/>
    <w:rsid w:val="00BD7A93"/>
    <w:rsid w:val="00BE01FD"/>
    <w:rsid w:val="00BE4464"/>
    <w:rsid w:val="00BF06B4"/>
    <w:rsid w:val="00BF1360"/>
    <w:rsid w:val="00BF150E"/>
    <w:rsid w:val="00BF1BFE"/>
    <w:rsid w:val="00BF7002"/>
    <w:rsid w:val="00C00321"/>
    <w:rsid w:val="00C00B18"/>
    <w:rsid w:val="00C01B85"/>
    <w:rsid w:val="00C023AF"/>
    <w:rsid w:val="00C04F9D"/>
    <w:rsid w:val="00C07985"/>
    <w:rsid w:val="00C1348E"/>
    <w:rsid w:val="00C138D0"/>
    <w:rsid w:val="00C15429"/>
    <w:rsid w:val="00C16A7F"/>
    <w:rsid w:val="00C16D8D"/>
    <w:rsid w:val="00C24650"/>
    <w:rsid w:val="00C276D6"/>
    <w:rsid w:val="00C30D31"/>
    <w:rsid w:val="00C3243A"/>
    <w:rsid w:val="00C332B0"/>
    <w:rsid w:val="00C3558C"/>
    <w:rsid w:val="00C3753C"/>
    <w:rsid w:val="00C407D4"/>
    <w:rsid w:val="00C4166D"/>
    <w:rsid w:val="00C43E0B"/>
    <w:rsid w:val="00C45673"/>
    <w:rsid w:val="00C502EE"/>
    <w:rsid w:val="00C51C13"/>
    <w:rsid w:val="00C52F39"/>
    <w:rsid w:val="00C53010"/>
    <w:rsid w:val="00C54FC3"/>
    <w:rsid w:val="00C55570"/>
    <w:rsid w:val="00C60693"/>
    <w:rsid w:val="00C60D6B"/>
    <w:rsid w:val="00C62725"/>
    <w:rsid w:val="00C642BB"/>
    <w:rsid w:val="00C64F9E"/>
    <w:rsid w:val="00C67E57"/>
    <w:rsid w:val="00C700C9"/>
    <w:rsid w:val="00C704A1"/>
    <w:rsid w:val="00C712D5"/>
    <w:rsid w:val="00C74B5B"/>
    <w:rsid w:val="00C75A91"/>
    <w:rsid w:val="00C76749"/>
    <w:rsid w:val="00C82F94"/>
    <w:rsid w:val="00C85AE6"/>
    <w:rsid w:val="00C87951"/>
    <w:rsid w:val="00C90D08"/>
    <w:rsid w:val="00C9220C"/>
    <w:rsid w:val="00C92E6F"/>
    <w:rsid w:val="00CA003C"/>
    <w:rsid w:val="00CA04CA"/>
    <w:rsid w:val="00CA2400"/>
    <w:rsid w:val="00CA464F"/>
    <w:rsid w:val="00CB19D7"/>
    <w:rsid w:val="00CB1F6D"/>
    <w:rsid w:val="00CB3136"/>
    <w:rsid w:val="00CB3446"/>
    <w:rsid w:val="00CB68FB"/>
    <w:rsid w:val="00CB6FB0"/>
    <w:rsid w:val="00CC0170"/>
    <w:rsid w:val="00CC4AD5"/>
    <w:rsid w:val="00CC5488"/>
    <w:rsid w:val="00CC6168"/>
    <w:rsid w:val="00CC6AE8"/>
    <w:rsid w:val="00CC7CC4"/>
    <w:rsid w:val="00CD03B3"/>
    <w:rsid w:val="00CD1881"/>
    <w:rsid w:val="00CD54F3"/>
    <w:rsid w:val="00CD56AB"/>
    <w:rsid w:val="00CD6741"/>
    <w:rsid w:val="00CD6FCA"/>
    <w:rsid w:val="00CD7302"/>
    <w:rsid w:val="00CE45AE"/>
    <w:rsid w:val="00CE4B38"/>
    <w:rsid w:val="00CF257C"/>
    <w:rsid w:val="00CF2F0C"/>
    <w:rsid w:val="00CF747E"/>
    <w:rsid w:val="00CF7698"/>
    <w:rsid w:val="00CF7E80"/>
    <w:rsid w:val="00D00233"/>
    <w:rsid w:val="00D00BD7"/>
    <w:rsid w:val="00D00ECE"/>
    <w:rsid w:val="00D01A52"/>
    <w:rsid w:val="00D029AC"/>
    <w:rsid w:val="00D02E2D"/>
    <w:rsid w:val="00D03BBF"/>
    <w:rsid w:val="00D055EB"/>
    <w:rsid w:val="00D06D7D"/>
    <w:rsid w:val="00D10022"/>
    <w:rsid w:val="00D1169F"/>
    <w:rsid w:val="00D12891"/>
    <w:rsid w:val="00D12C55"/>
    <w:rsid w:val="00D137D9"/>
    <w:rsid w:val="00D14863"/>
    <w:rsid w:val="00D15F1C"/>
    <w:rsid w:val="00D1628A"/>
    <w:rsid w:val="00D203C5"/>
    <w:rsid w:val="00D21107"/>
    <w:rsid w:val="00D23E00"/>
    <w:rsid w:val="00D24266"/>
    <w:rsid w:val="00D25F8B"/>
    <w:rsid w:val="00D27FF2"/>
    <w:rsid w:val="00D340E0"/>
    <w:rsid w:val="00D44DE8"/>
    <w:rsid w:val="00D451CF"/>
    <w:rsid w:val="00D47EAA"/>
    <w:rsid w:val="00D5255D"/>
    <w:rsid w:val="00D546A6"/>
    <w:rsid w:val="00D551A6"/>
    <w:rsid w:val="00D553D9"/>
    <w:rsid w:val="00D575E7"/>
    <w:rsid w:val="00D60509"/>
    <w:rsid w:val="00D62C1F"/>
    <w:rsid w:val="00D644DC"/>
    <w:rsid w:val="00D6559C"/>
    <w:rsid w:val="00D67C29"/>
    <w:rsid w:val="00D702B4"/>
    <w:rsid w:val="00D73A8A"/>
    <w:rsid w:val="00D75D74"/>
    <w:rsid w:val="00D76265"/>
    <w:rsid w:val="00D7662C"/>
    <w:rsid w:val="00D77B28"/>
    <w:rsid w:val="00D77BF2"/>
    <w:rsid w:val="00D81D89"/>
    <w:rsid w:val="00D921EF"/>
    <w:rsid w:val="00D93C82"/>
    <w:rsid w:val="00D94342"/>
    <w:rsid w:val="00D95D71"/>
    <w:rsid w:val="00DA1DFB"/>
    <w:rsid w:val="00DA3882"/>
    <w:rsid w:val="00DA3B8C"/>
    <w:rsid w:val="00DB459D"/>
    <w:rsid w:val="00DB4D6A"/>
    <w:rsid w:val="00DB6502"/>
    <w:rsid w:val="00DB7722"/>
    <w:rsid w:val="00DB7B50"/>
    <w:rsid w:val="00DC06F8"/>
    <w:rsid w:val="00DC2AE1"/>
    <w:rsid w:val="00DC44AA"/>
    <w:rsid w:val="00DC6CDF"/>
    <w:rsid w:val="00DD0D53"/>
    <w:rsid w:val="00DD1BD1"/>
    <w:rsid w:val="00DD2339"/>
    <w:rsid w:val="00DD4AEE"/>
    <w:rsid w:val="00DE0E70"/>
    <w:rsid w:val="00DE77A1"/>
    <w:rsid w:val="00DF08D0"/>
    <w:rsid w:val="00DF10EE"/>
    <w:rsid w:val="00DF4315"/>
    <w:rsid w:val="00DF4BD1"/>
    <w:rsid w:val="00DF5B4C"/>
    <w:rsid w:val="00E01A97"/>
    <w:rsid w:val="00E0431B"/>
    <w:rsid w:val="00E049B5"/>
    <w:rsid w:val="00E05CE6"/>
    <w:rsid w:val="00E06113"/>
    <w:rsid w:val="00E06141"/>
    <w:rsid w:val="00E109C1"/>
    <w:rsid w:val="00E15A1D"/>
    <w:rsid w:val="00E15E27"/>
    <w:rsid w:val="00E1730E"/>
    <w:rsid w:val="00E203AB"/>
    <w:rsid w:val="00E21C9F"/>
    <w:rsid w:val="00E24A09"/>
    <w:rsid w:val="00E2663E"/>
    <w:rsid w:val="00E30361"/>
    <w:rsid w:val="00E33D39"/>
    <w:rsid w:val="00E346E9"/>
    <w:rsid w:val="00E3686A"/>
    <w:rsid w:val="00E4303F"/>
    <w:rsid w:val="00E463AC"/>
    <w:rsid w:val="00E46724"/>
    <w:rsid w:val="00E52652"/>
    <w:rsid w:val="00E56950"/>
    <w:rsid w:val="00E56E9A"/>
    <w:rsid w:val="00E575BA"/>
    <w:rsid w:val="00E57812"/>
    <w:rsid w:val="00E60005"/>
    <w:rsid w:val="00E6019E"/>
    <w:rsid w:val="00E62AFB"/>
    <w:rsid w:val="00E6558D"/>
    <w:rsid w:val="00E677DC"/>
    <w:rsid w:val="00E67801"/>
    <w:rsid w:val="00E67898"/>
    <w:rsid w:val="00E7118B"/>
    <w:rsid w:val="00E75686"/>
    <w:rsid w:val="00E76B49"/>
    <w:rsid w:val="00E77144"/>
    <w:rsid w:val="00E77D4B"/>
    <w:rsid w:val="00E77E1A"/>
    <w:rsid w:val="00E80943"/>
    <w:rsid w:val="00E81359"/>
    <w:rsid w:val="00E81F78"/>
    <w:rsid w:val="00E8222A"/>
    <w:rsid w:val="00E82AE1"/>
    <w:rsid w:val="00E84A4D"/>
    <w:rsid w:val="00E86BD1"/>
    <w:rsid w:val="00E927D0"/>
    <w:rsid w:val="00E92D8F"/>
    <w:rsid w:val="00E947A0"/>
    <w:rsid w:val="00E95DCB"/>
    <w:rsid w:val="00E96697"/>
    <w:rsid w:val="00EA3BF0"/>
    <w:rsid w:val="00EA52A6"/>
    <w:rsid w:val="00EA5E3C"/>
    <w:rsid w:val="00EA5F14"/>
    <w:rsid w:val="00EA61AC"/>
    <w:rsid w:val="00EA63AF"/>
    <w:rsid w:val="00EA7D3B"/>
    <w:rsid w:val="00EB0154"/>
    <w:rsid w:val="00EB127F"/>
    <w:rsid w:val="00EB27E9"/>
    <w:rsid w:val="00EB3FEF"/>
    <w:rsid w:val="00EB72C3"/>
    <w:rsid w:val="00EC08D1"/>
    <w:rsid w:val="00EC34B1"/>
    <w:rsid w:val="00EC3CF9"/>
    <w:rsid w:val="00EC3E92"/>
    <w:rsid w:val="00EC68F7"/>
    <w:rsid w:val="00EC6AAC"/>
    <w:rsid w:val="00EC7FEE"/>
    <w:rsid w:val="00ED1943"/>
    <w:rsid w:val="00ED38EA"/>
    <w:rsid w:val="00ED4223"/>
    <w:rsid w:val="00ED44B5"/>
    <w:rsid w:val="00ED7DAE"/>
    <w:rsid w:val="00EE17F9"/>
    <w:rsid w:val="00EE2609"/>
    <w:rsid w:val="00EE3AB5"/>
    <w:rsid w:val="00EE42A4"/>
    <w:rsid w:val="00EE6FA0"/>
    <w:rsid w:val="00EF42E3"/>
    <w:rsid w:val="00EF45F6"/>
    <w:rsid w:val="00EF5AB4"/>
    <w:rsid w:val="00F0009E"/>
    <w:rsid w:val="00F00235"/>
    <w:rsid w:val="00F01502"/>
    <w:rsid w:val="00F03BF4"/>
    <w:rsid w:val="00F04901"/>
    <w:rsid w:val="00F06401"/>
    <w:rsid w:val="00F07517"/>
    <w:rsid w:val="00F110B9"/>
    <w:rsid w:val="00F11ED8"/>
    <w:rsid w:val="00F127A5"/>
    <w:rsid w:val="00F209C2"/>
    <w:rsid w:val="00F232A6"/>
    <w:rsid w:val="00F23EE8"/>
    <w:rsid w:val="00F27707"/>
    <w:rsid w:val="00F27F10"/>
    <w:rsid w:val="00F31231"/>
    <w:rsid w:val="00F3279A"/>
    <w:rsid w:val="00F33EF1"/>
    <w:rsid w:val="00F35522"/>
    <w:rsid w:val="00F40911"/>
    <w:rsid w:val="00F410A4"/>
    <w:rsid w:val="00F432D2"/>
    <w:rsid w:val="00F44CFC"/>
    <w:rsid w:val="00F5073C"/>
    <w:rsid w:val="00F53513"/>
    <w:rsid w:val="00F54C58"/>
    <w:rsid w:val="00F57270"/>
    <w:rsid w:val="00F5780A"/>
    <w:rsid w:val="00F57DBB"/>
    <w:rsid w:val="00F60B9D"/>
    <w:rsid w:val="00F63DA4"/>
    <w:rsid w:val="00F6527B"/>
    <w:rsid w:val="00F66B10"/>
    <w:rsid w:val="00F676E3"/>
    <w:rsid w:val="00F737E1"/>
    <w:rsid w:val="00F75410"/>
    <w:rsid w:val="00F80CAB"/>
    <w:rsid w:val="00F843B2"/>
    <w:rsid w:val="00F85705"/>
    <w:rsid w:val="00F87A5A"/>
    <w:rsid w:val="00F94252"/>
    <w:rsid w:val="00F94282"/>
    <w:rsid w:val="00F944FD"/>
    <w:rsid w:val="00F9561D"/>
    <w:rsid w:val="00F96E50"/>
    <w:rsid w:val="00F973DD"/>
    <w:rsid w:val="00FA07D7"/>
    <w:rsid w:val="00FA0EC3"/>
    <w:rsid w:val="00FA1210"/>
    <w:rsid w:val="00FA19D2"/>
    <w:rsid w:val="00FA1A96"/>
    <w:rsid w:val="00FA31A1"/>
    <w:rsid w:val="00FA3AFE"/>
    <w:rsid w:val="00FA3D24"/>
    <w:rsid w:val="00FA7450"/>
    <w:rsid w:val="00FB0895"/>
    <w:rsid w:val="00FB08D5"/>
    <w:rsid w:val="00FB1675"/>
    <w:rsid w:val="00FB20A9"/>
    <w:rsid w:val="00FB31E3"/>
    <w:rsid w:val="00FB3F76"/>
    <w:rsid w:val="00FB56B8"/>
    <w:rsid w:val="00FB7E15"/>
    <w:rsid w:val="00FC0B61"/>
    <w:rsid w:val="00FC1EDD"/>
    <w:rsid w:val="00FC22E7"/>
    <w:rsid w:val="00FC3593"/>
    <w:rsid w:val="00FC51AE"/>
    <w:rsid w:val="00FC6015"/>
    <w:rsid w:val="00FD1C08"/>
    <w:rsid w:val="00FD1CC4"/>
    <w:rsid w:val="00FD45C1"/>
    <w:rsid w:val="00FD6812"/>
    <w:rsid w:val="00FD7EE6"/>
    <w:rsid w:val="00FE114A"/>
    <w:rsid w:val="00FE18F0"/>
    <w:rsid w:val="00FE3111"/>
    <w:rsid w:val="00FE4A6A"/>
    <w:rsid w:val="00FE60E6"/>
    <w:rsid w:val="00FE6AED"/>
    <w:rsid w:val="00FE7C98"/>
    <w:rsid w:val="00FF0743"/>
    <w:rsid w:val="00FF3460"/>
    <w:rsid w:val="00FF34DB"/>
    <w:rsid w:val="00FF3824"/>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11C4DE"/>
  <w15:docId w15:val="{A226E709-07A7-4746-9A96-859FC0D5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45427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80A"/>
    <w:pPr>
      <w:ind w:left="720"/>
      <w:contextualSpacing/>
    </w:pPr>
  </w:style>
  <w:style w:type="paragraph" w:styleId="Header">
    <w:name w:val="header"/>
    <w:basedOn w:val="Normal"/>
    <w:link w:val="HeaderChar"/>
    <w:uiPriority w:val="99"/>
    <w:unhideWhenUsed/>
    <w:rsid w:val="00DF0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8D0"/>
  </w:style>
  <w:style w:type="paragraph" w:styleId="Footer">
    <w:name w:val="footer"/>
    <w:basedOn w:val="Normal"/>
    <w:link w:val="FooterChar"/>
    <w:uiPriority w:val="99"/>
    <w:unhideWhenUsed/>
    <w:rsid w:val="00DF0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8D0"/>
  </w:style>
  <w:style w:type="paragraph" w:styleId="BalloonText">
    <w:name w:val="Balloon Text"/>
    <w:basedOn w:val="Normal"/>
    <w:link w:val="BalloonTextChar"/>
    <w:uiPriority w:val="99"/>
    <w:semiHidden/>
    <w:unhideWhenUsed/>
    <w:rsid w:val="00DF08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08D0"/>
    <w:rPr>
      <w:rFonts w:ascii="Tahoma" w:hAnsi="Tahoma" w:cs="Tahoma"/>
      <w:sz w:val="16"/>
      <w:szCs w:val="16"/>
    </w:rPr>
  </w:style>
  <w:style w:type="paragraph" w:styleId="NormalWeb">
    <w:name w:val="Normal (Web)"/>
    <w:basedOn w:val="Normal"/>
    <w:uiPriority w:val="99"/>
    <w:unhideWhenUsed/>
    <w:rsid w:val="009F409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291461"/>
    <w:rPr>
      <w:sz w:val="16"/>
      <w:szCs w:val="16"/>
    </w:rPr>
  </w:style>
  <w:style w:type="paragraph" w:styleId="CommentText">
    <w:name w:val="annotation text"/>
    <w:basedOn w:val="Normal"/>
    <w:link w:val="CommentTextChar"/>
    <w:uiPriority w:val="99"/>
    <w:unhideWhenUsed/>
    <w:rsid w:val="00291461"/>
  </w:style>
  <w:style w:type="character" w:customStyle="1" w:styleId="CommentTextChar">
    <w:name w:val="Comment Text Char"/>
    <w:basedOn w:val="DefaultParagraphFont"/>
    <w:link w:val="CommentText"/>
    <w:uiPriority w:val="99"/>
    <w:rsid w:val="00291461"/>
  </w:style>
  <w:style w:type="paragraph" w:styleId="CommentSubject">
    <w:name w:val="annotation subject"/>
    <w:basedOn w:val="CommentText"/>
    <w:next w:val="CommentText"/>
    <w:link w:val="CommentSubjectChar"/>
    <w:uiPriority w:val="99"/>
    <w:semiHidden/>
    <w:unhideWhenUsed/>
    <w:rsid w:val="00241EFC"/>
    <w:rPr>
      <w:b/>
      <w:bCs/>
    </w:rPr>
  </w:style>
  <w:style w:type="character" w:customStyle="1" w:styleId="CommentSubjectChar">
    <w:name w:val="Comment Subject Char"/>
    <w:link w:val="CommentSubject"/>
    <w:uiPriority w:val="99"/>
    <w:semiHidden/>
    <w:rsid w:val="00241EFC"/>
    <w:rPr>
      <w:b/>
      <w:bCs/>
    </w:rPr>
  </w:style>
  <w:style w:type="paragraph" w:customStyle="1" w:styleId="Pa3">
    <w:name w:val="Pa3"/>
    <w:basedOn w:val="Normal"/>
    <w:next w:val="Normal"/>
    <w:uiPriority w:val="99"/>
    <w:rsid w:val="00635689"/>
    <w:pPr>
      <w:autoSpaceDE w:val="0"/>
      <w:autoSpaceDN w:val="0"/>
      <w:adjustRightInd w:val="0"/>
      <w:spacing w:after="0" w:line="191" w:lineRule="atLeast"/>
    </w:pPr>
    <w:rPr>
      <w:rFonts w:ascii="Univers LT Std 59 UltraCn" w:hAnsi="Univers LT Std 59 UltraCn"/>
      <w:sz w:val="24"/>
      <w:szCs w:val="24"/>
    </w:rPr>
  </w:style>
  <w:style w:type="paragraph" w:styleId="NoSpacing">
    <w:name w:val="No Spacing"/>
    <w:uiPriority w:val="1"/>
    <w:qFormat/>
    <w:rsid w:val="008F5F20"/>
    <w:rPr>
      <w:sz w:val="22"/>
      <w:szCs w:val="22"/>
    </w:rPr>
  </w:style>
  <w:style w:type="character" w:styleId="Hyperlink">
    <w:name w:val="Hyperlink"/>
    <w:uiPriority w:val="99"/>
    <w:unhideWhenUsed/>
    <w:rsid w:val="00D7662C"/>
    <w:rPr>
      <w:color w:val="0000FF"/>
      <w:u w:val="single"/>
    </w:rPr>
  </w:style>
  <w:style w:type="character" w:styleId="Emphasis">
    <w:name w:val="Emphasis"/>
    <w:uiPriority w:val="20"/>
    <w:qFormat/>
    <w:rsid w:val="00D7662C"/>
    <w:rPr>
      <w:i/>
      <w:iCs/>
    </w:rPr>
  </w:style>
  <w:style w:type="character" w:customStyle="1" w:styleId="Heading1Char">
    <w:name w:val="Heading 1 Char"/>
    <w:link w:val="Heading1"/>
    <w:uiPriority w:val="9"/>
    <w:rsid w:val="00454270"/>
    <w:rPr>
      <w:rFonts w:ascii="Times New Roman" w:eastAsia="Times New Roman" w:hAnsi="Times New Roman"/>
      <w:b/>
      <w:bCs/>
      <w:kern w:val="36"/>
      <w:sz w:val="48"/>
      <w:szCs w:val="48"/>
    </w:rPr>
  </w:style>
  <w:style w:type="paragraph" w:styleId="Revision">
    <w:name w:val="Revision"/>
    <w:hidden/>
    <w:uiPriority w:val="99"/>
    <w:semiHidden/>
    <w:rsid w:val="004A7D94"/>
    <w:rPr>
      <w:sz w:val="22"/>
      <w:szCs w:val="22"/>
    </w:rPr>
  </w:style>
  <w:style w:type="character" w:customStyle="1" w:styleId="il">
    <w:name w:val="il"/>
    <w:basedOn w:val="DefaultParagraphFont"/>
    <w:rsid w:val="005C7D33"/>
  </w:style>
  <w:style w:type="table" w:styleId="GridTable2-Accent1">
    <w:name w:val="Grid Table 2 Accent 1"/>
    <w:basedOn w:val="TableNormal"/>
    <w:uiPriority w:val="47"/>
    <w:rsid w:val="00542EB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67">
      <w:bodyDiv w:val="1"/>
      <w:marLeft w:val="0"/>
      <w:marRight w:val="0"/>
      <w:marTop w:val="0"/>
      <w:marBottom w:val="0"/>
      <w:divBdr>
        <w:top w:val="none" w:sz="0" w:space="0" w:color="auto"/>
        <w:left w:val="none" w:sz="0" w:space="0" w:color="auto"/>
        <w:bottom w:val="none" w:sz="0" w:space="0" w:color="auto"/>
        <w:right w:val="none" w:sz="0" w:space="0" w:color="auto"/>
      </w:divBdr>
    </w:div>
    <w:div w:id="13238958">
      <w:bodyDiv w:val="1"/>
      <w:marLeft w:val="0"/>
      <w:marRight w:val="0"/>
      <w:marTop w:val="0"/>
      <w:marBottom w:val="0"/>
      <w:divBdr>
        <w:top w:val="none" w:sz="0" w:space="0" w:color="auto"/>
        <w:left w:val="none" w:sz="0" w:space="0" w:color="auto"/>
        <w:bottom w:val="none" w:sz="0" w:space="0" w:color="auto"/>
        <w:right w:val="none" w:sz="0" w:space="0" w:color="auto"/>
      </w:divBdr>
    </w:div>
    <w:div w:id="14236156">
      <w:bodyDiv w:val="1"/>
      <w:marLeft w:val="0"/>
      <w:marRight w:val="0"/>
      <w:marTop w:val="0"/>
      <w:marBottom w:val="0"/>
      <w:divBdr>
        <w:top w:val="none" w:sz="0" w:space="0" w:color="auto"/>
        <w:left w:val="none" w:sz="0" w:space="0" w:color="auto"/>
        <w:bottom w:val="none" w:sz="0" w:space="0" w:color="auto"/>
        <w:right w:val="none" w:sz="0" w:space="0" w:color="auto"/>
      </w:divBdr>
    </w:div>
    <w:div w:id="31343717">
      <w:bodyDiv w:val="1"/>
      <w:marLeft w:val="0"/>
      <w:marRight w:val="0"/>
      <w:marTop w:val="0"/>
      <w:marBottom w:val="0"/>
      <w:divBdr>
        <w:top w:val="none" w:sz="0" w:space="0" w:color="auto"/>
        <w:left w:val="none" w:sz="0" w:space="0" w:color="auto"/>
        <w:bottom w:val="none" w:sz="0" w:space="0" w:color="auto"/>
        <w:right w:val="none" w:sz="0" w:space="0" w:color="auto"/>
      </w:divBdr>
    </w:div>
    <w:div w:id="243074591">
      <w:bodyDiv w:val="1"/>
      <w:marLeft w:val="0"/>
      <w:marRight w:val="0"/>
      <w:marTop w:val="0"/>
      <w:marBottom w:val="0"/>
      <w:divBdr>
        <w:top w:val="none" w:sz="0" w:space="0" w:color="auto"/>
        <w:left w:val="none" w:sz="0" w:space="0" w:color="auto"/>
        <w:bottom w:val="none" w:sz="0" w:space="0" w:color="auto"/>
        <w:right w:val="none" w:sz="0" w:space="0" w:color="auto"/>
      </w:divBdr>
    </w:div>
    <w:div w:id="419641460">
      <w:bodyDiv w:val="1"/>
      <w:marLeft w:val="0"/>
      <w:marRight w:val="0"/>
      <w:marTop w:val="0"/>
      <w:marBottom w:val="0"/>
      <w:divBdr>
        <w:top w:val="none" w:sz="0" w:space="0" w:color="auto"/>
        <w:left w:val="none" w:sz="0" w:space="0" w:color="auto"/>
        <w:bottom w:val="none" w:sz="0" w:space="0" w:color="auto"/>
        <w:right w:val="none" w:sz="0" w:space="0" w:color="auto"/>
      </w:divBdr>
    </w:div>
    <w:div w:id="425615710">
      <w:bodyDiv w:val="1"/>
      <w:marLeft w:val="0"/>
      <w:marRight w:val="0"/>
      <w:marTop w:val="0"/>
      <w:marBottom w:val="0"/>
      <w:divBdr>
        <w:top w:val="none" w:sz="0" w:space="0" w:color="auto"/>
        <w:left w:val="none" w:sz="0" w:space="0" w:color="auto"/>
        <w:bottom w:val="none" w:sz="0" w:space="0" w:color="auto"/>
        <w:right w:val="none" w:sz="0" w:space="0" w:color="auto"/>
      </w:divBdr>
    </w:div>
    <w:div w:id="465464906">
      <w:bodyDiv w:val="1"/>
      <w:marLeft w:val="0"/>
      <w:marRight w:val="0"/>
      <w:marTop w:val="0"/>
      <w:marBottom w:val="0"/>
      <w:divBdr>
        <w:top w:val="none" w:sz="0" w:space="0" w:color="auto"/>
        <w:left w:val="none" w:sz="0" w:space="0" w:color="auto"/>
        <w:bottom w:val="none" w:sz="0" w:space="0" w:color="auto"/>
        <w:right w:val="none" w:sz="0" w:space="0" w:color="auto"/>
      </w:divBdr>
    </w:div>
    <w:div w:id="813570972">
      <w:bodyDiv w:val="1"/>
      <w:marLeft w:val="0"/>
      <w:marRight w:val="0"/>
      <w:marTop w:val="0"/>
      <w:marBottom w:val="0"/>
      <w:divBdr>
        <w:top w:val="none" w:sz="0" w:space="0" w:color="auto"/>
        <w:left w:val="none" w:sz="0" w:space="0" w:color="auto"/>
        <w:bottom w:val="none" w:sz="0" w:space="0" w:color="auto"/>
        <w:right w:val="none" w:sz="0" w:space="0" w:color="auto"/>
      </w:divBdr>
    </w:div>
    <w:div w:id="956181279">
      <w:bodyDiv w:val="1"/>
      <w:marLeft w:val="0"/>
      <w:marRight w:val="0"/>
      <w:marTop w:val="0"/>
      <w:marBottom w:val="0"/>
      <w:divBdr>
        <w:top w:val="none" w:sz="0" w:space="0" w:color="auto"/>
        <w:left w:val="none" w:sz="0" w:space="0" w:color="auto"/>
        <w:bottom w:val="none" w:sz="0" w:space="0" w:color="auto"/>
        <w:right w:val="none" w:sz="0" w:space="0" w:color="auto"/>
      </w:divBdr>
    </w:div>
    <w:div w:id="959531833">
      <w:bodyDiv w:val="1"/>
      <w:marLeft w:val="0"/>
      <w:marRight w:val="0"/>
      <w:marTop w:val="0"/>
      <w:marBottom w:val="0"/>
      <w:divBdr>
        <w:top w:val="none" w:sz="0" w:space="0" w:color="auto"/>
        <w:left w:val="none" w:sz="0" w:space="0" w:color="auto"/>
        <w:bottom w:val="none" w:sz="0" w:space="0" w:color="auto"/>
        <w:right w:val="none" w:sz="0" w:space="0" w:color="auto"/>
      </w:divBdr>
    </w:div>
    <w:div w:id="1157762843">
      <w:bodyDiv w:val="1"/>
      <w:marLeft w:val="0"/>
      <w:marRight w:val="0"/>
      <w:marTop w:val="0"/>
      <w:marBottom w:val="0"/>
      <w:divBdr>
        <w:top w:val="none" w:sz="0" w:space="0" w:color="auto"/>
        <w:left w:val="none" w:sz="0" w:space="0" w:color="auto"/>
        <w:bottom w:val="none" w:sz="0" w:space="0" w:color="auto"/>
        <w:right w:val="none" w:sz="0" w:space="0" w:color="auto"/>
      </w:divBdr>
    </w:div>
    <w:div w:id="1352881780">
      <w:bodyDiv w:val="1"/>
      <w:marLeft w:val="0"/>
      <w:marRight w:val="0"/>
      <w:marTop w:val="0"/>
      <w:marBottom w:val="0"/>
      <w:divBdr>
        <w:top w:val="none" w:sz="0" w:space="0" w:color="auto"/>
        <w:left w:val="none" w:sz="0" w:space="0" w:color="auto"/>
        <w:bottom w:val="none" w:sz="0" w:space="0" w:color="auto"/>
        <w:right w:val="none" w:sz="0" w:space="0" w:color="auto"/>
      </w:divBdr>
    </w:div>
    <w:div w:id="1367566133">
      <w:bodyDiv w:val="1"/>
      <w:marLeft w:val="0"/>
      <w:marRight w:val="0"/>
      <w:marTop w:val="0"/>
      <w:marBottom w:val="0"/>
      <w:divBdr>
        <w:top w:val="none" w:sz="0" w:space="0" w:color="auto"/>
        <w:left w:val="none" w:sz="0" w:space="0" w:color="auto"/>
        <w:bottom w:val="none" w:sz="0" w:space="0" w:color="auto"/>
        <w:right w:val="none" w:sz="0" w:space="0" w:color="auto"/>
      </w:divBdr>
    </w:div>
    <w:div w:id="1464082204">
      <w:bodyDiv w:val="1"/>
      <w:marLeft w:val="0"/>
      <w:marRight w:val="0"/>
      <w:marTop w:val="0"/>
      <w:marBottom w:val="0"/>
      <w:divBdr>
        <w:top w:val="none" w:sz="0" w:space="0" w:color="auto"/>
        <w:left w:val="none" w:sz="0" w:space="0" w:color="auto"/>
        <w:bottom w:val="none" w:sz="0" w:space="0" w:color="auto"/>
        <w:right w:val="none" w:sz="0" w:space="0" w:color="auto"/>
      </w:divBdr>
    </w:div>
    <w:div w:id="1605455535">
      <w:bodyDiv w:val="1"/>
      <w:marLeft w:val="0"/>
      <w:marRight w:val="0"/>
      <w:marTop w:val="0"/>
      <w:marBottom w:val="0"/>
      <w:divBdr>
        <w:top w:val="none" w:sz="0" w:space="0" w:color="auto"/>
        <w:left w:val="none" w:sz="0" w:space="0" w:color="auto"/>
        <w:bottom w:val="none" w:sz="0" w:space="0" w:color="auto"/>
        <w:right w:val="none" w:sz="0" w:space="0" w:color="auto"/>
      </w:divBdr>
    </w:div>
    <w:div w:id="1612859409">
      <w:bodyDiv w:val="1"/>
      <w:marLeft w:val="0"/>
      <w:marRight w:val="0"/>
      <w:marTop w:val="0"/>
      <w:marBottom w:val="0"/>
      <w:divBdr>
        <w:top w:val="none" w:sz="0" w:space="0" w:color="auto"/>
        <w:left w:val="none" w:sz="0" w:space="0" w:color="auto"/>
        <w:bottom w:val="none" w:sz="0" w:space="0" w:color="auto"/>
        <w:right w:val="none" w:sz="0" w:space="0" w:color="auto"/>
      </w:divBdr>
      <w:divsChild>
        <w:div w:id="320350180">
          <w:marLeft w:val="0"/>
          <w:marRight w:val="0"/>
          <w:marTop w:val="0"/>
          <w:marBottom w:val="0"/>
          <w:divBdr>
            <w:top w:val="none" w:sz="0" w:space="0" w:color="auto"/>
            <w:left w:val="none" w:sz="0" w:space="0" w:color="auto"/>
            <w:bottom w:val="none" w:sz="0" w:space="0" w:color="auto"/>
            <w:right w:val="none" w:sz="0" w:space="0" w:color="auto"/>
          </w:divBdr>
          <w:divsChild>
            <w:div w:id="1925722810">
              <w:marLeft w:val="0"/>
              <w:marRight w:val="0"/>
              <w:marTop w:val="0"/>
              <w:marBottom w:val="0"/>
              <w:divBdr>
                <w:top w:val="none" w:sz="0" w:space="0" w:color="auto"/>
                <w:left w:val="none" w:sz="0" w:space="0" w:color="auto"/>
                <w:bottom w:val="none" w:sz="0" w:space="0" w:color="auto"/>
                <w:right w:val="none" w:sz="0" w:space="0" w:color="auto"/>
              </w:divBdr>
              <w:divsChild>
                <w:div w:id="957763743">
                  <w:marLeft w:val="0"/>
                  <w:marRight w:val="0"/>
                  <w:marTop w:val="0"/>
                  <w:marBottom w:val="0"/>
                  <w:divBdr>
                    <w:top w:val="none" w:sz="0" w:space="0" w:color="auto"/>
                    <w:left w:val="none" w:sz="0" w:space="0" w:color="auto"/>
                    <w:bottom w:val="none" w:sz="0" w:space="0" w:color="auto"/>
                    <w:right w:val="none" w:sz="0" w:space="0" w:color="auto"/>
                  </w:divBdr>
                  <w:divsChild>
                    <w:div w:id="1917932982">
                      <w:marLeft w:val="0"/>
                      <w:marRight w:val="0"/>
                      <w:marTop w:val="0"/>
                      <w:marBottom w:val="0"/>
                      <w:divBdr>
                        <w:top w:val="none" w:sz="0" w:space="0" w:color="auto"/>
                        <w:left w:val="none" w:sz="0" w:space="0" w:color="auto"/>
                        <w:bottom w:val="none" w:sz="0" w:space="0" w:color="auto"/>
                        <w:right w:val="none" w:sz="0" w:space="0" w:color="auto"/>
                      </w:divBdr>
                      <w:divsChild>
                        <w:div w:id="1768186933">
                          <w:marLeft w:val="0"/>
                          <w:marRight w:val="0"/>
                          <w:marTop w:val="0"/>
                          <w:marBottom w:val="0"/>
                          <w:divBdr>
                            <w:top w:val="none" w:sz="0" w:space="0" w:color="auto"/>
                            <w:left w:val="none" w:sz="0" w:space="0" w:color="auto"/>
                            <w:bottom w:val="none" w:sz="0" w:space="0" w:color="auto"/>
                            <w:right w:val="none" w:sz="0" w:space="0" w:color="auto"/>
                          </w:divBdr>
                          <w:divsChild>
                            <w:div w:id="1979526904">
                              <w:marLeft w:val="0"/>
                              <w:marRight w:val="0"/>
                              <w:marTop w:val="0"/>
                              <w:marBottom w:val="0"/>
                              <w:divBdr>
                                <w:top w:val="none" w:sz="0" w:space="0" w:color="auto"/>
                                <w:left w:val="none" w:sz="0" w:space="0" w:color="auto"/>
                                <w:bottom w:val="none" w:sz="0" w:space="0" w:color="auto"/>
                                <w:right w:val="none" w:sz="0" w:space="0" w:color="auto"/>
                              </w:divBdr>
                              <w:divsChild>
                                <w:div w:id="649287986">
                                  <w:marLeft w:val="0"/>
                                  <w:marRight w:val="0"/>
                                  <w:marTop w:val="0"/>
                                  <w:marBottom w:val="0"/>
                                  <w:divBdr>
                                    <w:top w:val="none" w:sz="0" w:space="0" w:color="auto"/>
                                    <w:left w:val="none" w:sz="0" w:space="0" w:color="auto"/>
                                    <w:bottom w:val="none" w:sz="0" w:space="0" w:color="auto"/>
                                    <w:right w:val="none" w:sz="0" w:space="0" w:color="auto"/>
                                  </w:divBdr>
                                  <w:divsChild>
                                    <w:div w:id="1642732347">
                                      <w:marLeft w:val="0"/>
                                      <w:marRight w:val="0"/>
                                      <w:marTop w:val="0"/>
                                      <w:marBottom w:val="0"/>
                                      <w:divBdr>
                                        <w:top w:val="none" w:sz="0" w:space="0" w:color="auto"/>
                                        <w:left w:val="none" w:sz="0" w:space="0" w:color="auto"/>
                                        <w:bottom w:val="none" w:sz="0" w:space="0" w:color="auto"/>
                                        <w:right w:val="none" w:sz="0" w:space="0" w:color="auto"/>
                                      </w:divBdr>
                                      <w:divsChild>
                                        <w:div w:id="2146775800">
                                          <w:marLeft w:val="0"/>
                                          <w:marRight w:val="0"/>
                                          <w:marTop w:val="0"/>
                                          <w:marBottom w:val="0"/>
                                          <w:divBdr>
                                            <w:top w:val="none" w:sz="0" w:space="0" w:color="auto"/>
                                            <w:left w:val="none" w:sz="0" w:space="0" w:color="auto"/>
                                            <w:bottom w:val="none" w:sz="0" w:space="0" w:color="auto"/>
                                            <w:right w:val="none" w:sz="0" w:space="0" w:color="auto"/>
                                          </w:divBdr>
                                          <w:divsChild>
                                            <w:div w:id="1906648677">
                                              <w:marLeft w:val="0"/>
                                              <w:marRight w:val="0"/>
                                              <w:marTop w:val="0"/>
                                              <w:marBottom w:val="0"/>
                                              <w:divBdr>
                                                <w:top w:val="none" w:sz="0" w:space="0" w:color="auto"/>
                                                <w:left w:val="none" w:sz="0" w:space="0" w:color="auto"/>
                                                <w:bottom w:val="none" w:sz="0" w:space="0" w:color="auto"/>
                                                <w:right w:val="none" w:sz="0" w:space="0" w:color="auto"/>
                                              </w:divBdr>
                                              <w:divsChild>
                                                <w:div w:id="68887697">
                                                  <w:marLeft w:val="0"/>
                                                  <w:marRight w:val="0"/>
                                                  <w:marTop w:val="0"/>
                                                  <w:marBottom w:val="0"/>
                                                  <w:divBdr>
                                                    <w:top w:val="none" w:sz="0" w:space="0" w:color="auto"/>
                                                    <w:left w:val="none" w:sz="0" w:space="0" w:color="auto"/>
                                                    <w:bottom w:val="none" w:sz="0" w:space="0" w:color="auto"/>
                                                    <w:right w:val="none" w:sz="0" w:space="0" w:color="auto"/>
                                                  </w:divBdr>
                                                  <w:divsChild>
                                                    <w:div w:id="697899910">
                                                      <w:marLeft w:val="0"/>
                                                      <w:marRight w:val="0"/>
                                                      <w:marTop w:val="0"/>
                                                      <w:marBottom w:val="0"/>
                                                      <w:divBdr>
                                                        <w:top w:val="none" w:sz="0" w:space="0" w:color="auto"/>
                                                        <w:left w:val="none" w:sz="0" w:space="0" w:color="auto"/>
                                                        <w:bottom w:val="none" w:sz="0" w:space="0" w:color="auto"/>
                                                        <w:right w:val="none" w:sz="0" w:space="0" w:color="auto"/>
                                                      </w:divBdr>
                                                      <w:divsChild>
                                                        <w:div w:id="1781604629">
                                                          <w:marLeft w:val="0"/>
                                                          <w:marRight w:val="0"/>
                                                          <w:marTop w:val="0"/>
                                                          <w:marBottom w:val="0"/>
                                                          <w:divBdr>
                                                            <w:top w:val="none" w:sz="0" w:space="0" w:color="auto"/>
                                                            <w:left w:val="none" w:sz="0" w:space="0" w:color="auto"/>
                                                            <w:bottom w:val="none" w:sz="0" w:space="0" w:color="auto"/>
                                                            <w:right w:val="none" w:sz="0" w:space="0" w:color="auto"/>
                                                          </w:divBdr>
                                                          <w:divsChild>
                                                            <w:div w:id="1793743664">
                                                              <w:marLeft w:val="0"/>
                                                              <w:marRight w:val="0"/>
                                                              <w:marTop w:val="0"/>
                                                              <w:marBottom w:val="0"/>
                                                              <w:divBdr>
                                                                <w:top w:val="none" w:sz="0" w:space="0" w:color="auto"/>
                                                                <w:left w:val="none" w:sz="0" w:space="0" w:color="auto"/>
                                                                <w:bottom w:val="none" w:sz="0" w:space="0" w:color="auto"/>
                                                                <w:right w:val="none" w:sz="0" w:space="0" w:color="auto"/>
                                                              </w:divBdr>
                                                              <w:divsChild>
                                                                <w:div w:id="1546796903">
                                                                  <w:marLeft w:val="0"/>
                                                                  <w:marRight w:val="0"/>
                                                                  <w:marTop w:val="0"/>
                                                                  <w:marBottom w:val="0"/>
                                                                  <w:divBdr>
                                                                    <w:top w:val="none" w:sz="0" w:space="0" w:color="auto"/>
                                                                    <w:left w:val="none" w:sz="0" w:space="0" w:color="auto"/>
                                                                    <w:bottom w:val="none" w:sz="0" w:space="0" w:color="auto"/>
                                                                    <w:right w:val="none" w:sz="0" w:space="0" w:color="auto"/>
                                                                  </w:divBdr>
                                                                  <w:divsChild>
                                                                    <w:div w:id="1732844935">
                                                                      <w:marLeft w:val="0"/>
                                                                      <w:marRight w:val="0"/>
                                                                      <w:marTop w:val="0"/>
                                                                      <w:marBottom w:val="0"/>
                                                                      <w:divBdr>
                                                                        <w:top w:val="none" w:sz="0" w:space="0" w:color="auto"/>
                                                                        <w:left w:val="none" w:sz="0" w:space="0" w:color="auto"/>
                                                                        <w:bottom w:val="none" w:sz="0" w:space="0" w:color="auto"/>
                                                                        <w:right w:val="none" w:sz="0" w:space="0" w:color="auto"/>
                                                                      </w:divBdr>
                                                                      <w:divsChild>
                                                                        <w:div w:id="1192572591">
                                                                          <w:marLeft w:val="0"/>
                                                                          <w:marRight w:val="0"/>
                                                                          <w:marTop w:val="0"/>
                                                                          <w:marBottom w:val="0"/>
                                                                          <w:divBdr>
                                                                            <w:top w:val="none" w:sz="0" w:space="0" w:color="auto"/>
                                                                            <w:left w:val="none" w:sz="0" w:space="0" w:color="auto"/>
                                                                            <w:bottom w:val="none" w:sz="0" w:space="0" w:color="auto"/>
                                                                            <w:right w:val="none" w:sz="0" w:space="0" w:color="auto"/>
                                                                          </w:divBdr>
                                                                          <w:divsChild>
                                                                            <w:div w:id="2083216709">
                                                                              <w:marLeft w:val="0"/>
                                                                              <w:marRight w:val="0"/>
                                                                              <w:marTop w:val="0"/>
                                                                              <w:marBottom w:val="0"/>
                                                                              <w:divBdr>
                                                                                <w:top w:val="none" w:sz="0" w:space="0" w:color="auto"/>
                                                                                <w:left w:val="none" w:sz="0" w:space="0" w:color="auto"/>
                                                                                <w:bottom w:val="none" w:sz="0" w:space="0" w:color="auto"/>
                                                                                <w:right w:val="none" w:sz="0" w:space="0" w:color="auto"/>
                                                                              </w:divBdr>
                                                                              <w:divsChild>
                                                                                <w:div w:id="1406297558">
                                                                                  <w:marLeft w:val="0"/>
                                                                                  <w:marRight w:val="0"/>
                                                                                  <w:marTop w:val="0"/>
                                                                                  <w:marBottom w:val="0"/>
                                                                                  <w:divBdr>
                                                                                    <w:top w:val="none" w:sz="0" w:space="0" w:color="auto"/>
                                                                                    <w:left w:val="none" w:sz="0" w:space="0" w:color="auto"/>
                                                                                    <w:bottom w:val="none" w:sz="0" w:space="0" w:color="auto"/>
                                                                                    <w:right w:val="none" w:sz="0" w:space="0" w:color="auto"/>
                                                                                  </w:divBdr>
                                                                                  <w:divsChild>
                                                                                    <w:div w:id="1575507306">
                                                                                      <w:marLeft w:val="0"/>
                                                                                      <w:marRight w:val="0"/>
                                                                                      <w:marTop w:val="0"/>
                                                                                      <w:marBottom w:val="0"/>
                                                                                      <w:divBdr>
                                                                                        <w:top w:val="none" w:sz="0" w:space="0" w:color="auto"/>
                                                                                        <w:left w:val="none" w:sz="0" w:space="0" w:color="auto"/>
                                                                                        <w:bottom w:val="none" w:sz="0" w:space="0" w:color="auto"/>
                                                                                        <w:right w:val="none" w:sz="0" w:space="0" w:color="auto"/>
                                                                                      </w:divBdr>
                                                                                      <w:divsChild>
                                                                                        <w:div w:id="226115397">
                                                                                          <w:marLeft w:val="0"/>
                                                                                          <w:marRight w:val="0"/>
                                                                                          <w:marTop w:val="0"/>
                                                                                          <w:marBottom w:val="0"/>
                                                                                          <w:divBdr>
                                                                                            <w:top w:val="none" w:sz="0" w:space="0" w:color="auto"/>
                                                                                            <w:left w:val="none" w:sz="0" w:space="0" w:color="auto"/>
                                                                                            <w:bottom w:val="none" w:sz="0" w:space="0" w:color="auto"/>
                                                                                            <w:right w:val="none" w:sz="0" w:space="0" w:color="auto"/>
                                                                                          </w:divBdr>
                                                                                          <w:divsChild>
                                                                                            <w:div w:id="974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434676">
      <w:bodyDiv w:val="1"/>
      <w:marLeft w:val="0"/>
      <w:marRight w:val="0"/>
      <w:marTop w:val="0"/>
      <w:marBottom w:val="0"/>
      <w:divBdr>
        <w:top w:val="none" w:sz="0" w:space="0" w:color="auto"/>
        <w:left w:val="none" w:sz="0" w:space="0" w:color="auto"/>
        <w:bottom w:val="none" w:sz="0" w:space="0" w:color="auto"/>
        <w:right w:val="none" w:sz="0" w:space="0" w:color="auto"/>
      </w:divBdr>
    </w:div>
    <w:div w:id="1932355857">
      <w:bodyDiv w:val="1"/>
      <w:marLeft w:val="0"/>
      <w:marRight w:val="0"/>
      <w:marTop w:val="0"/>
      <w:marBottom w:val="0"/>
      <w:divBdr>
        <w:top w:val="none" w:sz="0" w:space="0" w:color="auto"/>
        <w:left w:val="none" w:sz="0" w:space="0" w:color="auto"/>
        <w:bottom w:val="none" w:sz="0" w:space="0" w:color="auto"/>
        <w:right w:val="none" w:sz="0" w:space="0" w:color="auto"/>
      </w:divBdr>
    </w:div>
    <w:div w:id="21108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A813-0124-46D1-B870-6C9B6DDD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12</Pages>
  <Words>4078</Words>
  <Characters>23246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27270</CharactersWithSpaces>
  <SharedDoc>false</SharedDoc>
  <HLinks>
    <vt:vector size="18" baseType="variant">
      <vt:variant>
        <vt:i4>6422609</vt:i4>
      </vt:variant>
      <vt:variant>
        <vt:i4>6</vt:i4>
      </vt:variant>
      <vt:variant>
        <vt:i4>0</vt:i4>
      </vt:variant>
      <vt:variant>
        <vt:i4>5</vt:i4>
      </vt:variant>
      <vt:variant>
        <vt:lpwstr>https://www.nefsc.noaa.gov/press_release/pr2017/scispot/ss1709/</vt:lpwstr>
      </vt:variant>
      <vt:variant>
        <vt:lpwstr/>
      </vt:variant>
      <vt:variant>
        <vt:i4>6422609</vt:i4>
      </vt:variant>
      <vt:variant>
        <vt:i4>3</vt:i4>
      </vt:variant>
      <vt:variant>
        <vt:i4>0</vt:i4>
      </vt:variant>
      <vt:variant>
        <vt:i4>5</vt:i4>
      </vt:variant>
      <vt:variant>
        <vt:lpwstr>https://www.nefsc.noaa.gov/press_release/pr2017/scispot/ss1709/</vt:lpwstr>
      </vt:variant>
      <vt:variant>
        <vt:lpwstr/>
      </vt:variant>
      <vt:variant>
        <vt:i4>6488145</vt:i4>
      </vt:variant>
      <vt:variant>
        <vt:i4>0</vt:i4>
      </vt:variant>
      <vt:variant>
        <vt:i4>0</vt:i4>
      </vt:variant>
      <vt:variant>
        <vt:i4>5</vt:i4>
      </vt:variant>
      <vt:variant>
        <vt:lpwstr>https://www.nefsc.noaa.gov/press_release/pr2017/scispot/ss1708/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 Miller</dc:creator>
  <cp:lastModifiedBy>Amy Lin</cp:lastModifiedBy>
  <cp:revision>8</cp:revision>
  <cp:lastPrinted>2017-10-10T18:18:00Z</cp:lastPrinted>
  <dcterms:created xsi:type="dcterms:W3CDTF">2021-05-07T20:51:00Z</dcterms:created>
  <dcterms:modified xsi:type="dcterms:W3CDTF">2021-05-14T16:07:00Z</dcterms:modified>
</cp:coreProperties>
</file>